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3C1A1D" w:rsidRDefault="000D518C" w:rsidP="000D518C">
            <w:pPr>
              <w:spacing w:line="200" w:lineRule="exact"/>
              <w:rPr>
                <w:b/>
                <w:bCs/>
                <w:sz w:val="14"/>
              </w:rPr>
            </w:pPr>
            <w:bookmarkStart w:id="0" w:name="CompanyName"/>
            <w:bookmarkStart w:id="1" w:name="AddressLine"/>
            <w:bookmarkEnd w:id="0"/>
            <w:bookmarkEnd w:id="1"/>
            <w:r w:rsidRPr="003C1A1D">
              <w:rPr>
                <w:b/>
                <w:bCs/>
                <w:sz w:val="14"/>
              </w:rPr>
              <w:t>Kontakt</w:t>
            </w:r>
          </w:p>
          <w:p w:rsidR="000D518C" w:rsidRPr="003C1A1D" w:rsidRDefault="00DD3339" w:rsidP="00325020">
            <w:pPr>
              <w:spacing w:line="200" w:lineRule="exact"/>
              <w:rPr>
                <w:bCs/>
                <w:sz w:val="14"/>
              </w:rPr>
            </w:pPr>
            <w:r w:rsidRPr="003C1A1D">
              <w:rPr>
                <w:bCs/>
                <w:sz w:val="14"/>
              </w:rPr>
              <w:t>Bettina König</w:t>
            </w:r>
          </w:p>
          <w:p w:rsidR="000D518C" w:rsidRPr="003C1A1D" w:rsidRDefault="000D518C" w:rsidP="000D518C">
            <w:pPr>
              <w:spacing w:line="200" w:lineRule="exact"/>
              <w:rPr>
                <w:bCs/>
                <w:sz w:val="14"/>
              </w:rPr>
            </w:pPr>
            <w:r w:rsidRPr="003C1A1D">
              <w:rPr>
                <w:bCs/>
                <w:sz w:val="14"/>
              </w:rPr>
              <w:t>Marketing Communications</w:t>
            </w:r>
          </w:p>
          <w:p w:rsidR="000D518C" w:rsidRPr="003C1A1D" w:rsidRDefault="000D518C" w:rsidP="000D518C">
            <w:pPr>
              <w:spacing w:line="200" w:lineRule="exact"/>
              <w:rPr>
                <w:bCs/>
                <w:sz w:val="14"/>
              </w:rPr>
            </w:pPr>
            <w:r w:rsidRPr="003C1A1D">
              <w:rPr>
                <w:bCs/>
                <w:sz w:val="14"/>
              </w:rPr>
              <w:t>Coperion GmbH</w:t>
            </w:r>
          </w:p>
          <w:p w:rsidR="000D518C" w:rsidRPr="005A6EEC" w:rsidRDefault="000D518C" w:rsidP="000D518C">
            <w:pPr>
              <w:spacing w:line="200" w:lineRule="exact"/>
              <w:rPr>
                <w:bCs/>
                <w:sz w:val="14"/>
              </w:rPr>
            </w:pPr>
            <w:r w:rsidRPr="005A6EEC">
              <w:rPr>
                <w:bCs/>
                <w:sz w:val="14"/>
              </w:rPr>
              <w:t>Theodorstraße 10</w:t>
            </w:r>
          </w:p>
          <w:p w:rsidR="000D518C" w:rsidRPr="005A6EEC" w:rsidRDefault="000D518C" w:rsidP="000D518C">
            <w:pPr>
              <w:spacing w:line="200" w:lineRule="exact"/>
              <w:rPr>
                <w:bCs/>
                <w:sz w:val="14"/>
              </w:rPr>
            </w:pPr>
            <w:r w:rsidRPr="005A6EEC">
              <w:rPr>
                <w:bCs/>
                <w:sz w:val="14"/>
              </w:rPr>
              <w:t>70469 Stuttgart/Deutschland</w:t>
            </w:r>
          </w:p>
          <w:p w:rsidR="000D518C" w:rsidRPr="005A6EEC" w:rsidRDefault="000D518C" w:rsidP="000D518C">
            <w:pPr>
              <w:spacing w:line="200" w:lineRule="exact"/>
              <w:rPr>
                <w:bCs/>
                <w:sz w:val="14"/>
              </w:rPr>
            </w:pPr>
          </w:p>
          <w:p w:rsidR="000D518C" w:rsidRPr="005A6EEC" w:rsidRDefault="000D518C" w:rsidP="00DD3339">
            <w:pPr>
              <w:spacing w:line="200" w:lineRule="exact"/>
              <w:rPr>
                <w:bCs/>
                <w:sz w:val="14"/>
              </w:rPr>
            </w:pPr>
            <w:r w:rsidRPr="005A6EEC">
              <w:rPr>
                <w:bCs/>
                <w:sz w:val="14"/>
              </w:rPr>
              <w:t xml:space="preserve">Telefon +49 (0)711 897 22 </w:t>
            </w:r>
            <w:r w:rsidR="00DD3339">
              <w:rPr>
                <w:bCs/>
                <w:sz w:val="14"/>
              </w:rPr>
              <w:t>1</w:t>
            </w:r>
            <w:r w:rsidRPr="005A6EEC">
              <w:rPr>
                <w:bCs/>
                <w:sz w:val="14"/>
              </w:rPr>
              <w:t>5</w:t>
            </w:r>
          </w:p>
          <w:p w:rsidR="000D518C" w:rsidRPr="005A6EEC" w:rsidRDefault="000D518C" w:rsidP="000D518C">
            <w:pPr>
              <w:spacing w:line="200" w:lineRule="exact"/>
              <w:rPr>
                <w:bCs/>
                <w:sz w:val="14"/>
              </w:rPr>
            </w:pPr>
            <w:r>
              <w:rPr>
                <w:bCs/>
                <w:sz w:val="14"/>
              </w:rPr>
              <w:t>Telefax +49 (0)711 897 39 74</w:t>
            </w:r>
          </w:p>
          <w:p w:rsidR="000D518C" w:rsidRPr="005A6EEC" w:rsidRDefault="00DD3339" w:rsidP="000D518C">
            <w:pPr>
              <w:spacing w:line="200" w:lineRule="exact"/>
              <w:rPr>
                <w:bCs/>
                <w:sz w:val="14"/>
              </w:rPr>
            </w:pPr>
            <w:r>
              <w:rPr>
                <w:bCs/>
                <w:sz w:val="14"/>
              </w:rPr>
              <w:t>bettina</w:t>
            </w:r>
            <w:r w:rsidR="000D518C" w:rsidRPr="005A6EEC">
              <w:rPr>
                <w:bCs/>
                <w:sz w:val="14"/>
              </w:rPr>
              <w:t>.</w:t>
            </w:r>
            <w:r>
              <w:rPr>
                <w:bCs/>
                <w:sz w:val="14"/>
              </w:rPr>
              <w:t>koenig</w:t>
            </w:r>
            <w:r w:rsidR="000D518C" w:rsidRPr="005A6EEC">
              <w:rPr>
                <w:bCs/>
                <w:sz w:val="14"/>
              </w:rPr>
              <w:t>@coperion.com</w:t>
            </w:r>
          </w:p>
          <w:p w:rsidR="000D518C" w:rsidRPr="005A6EEC" w:rsidRDefault="000D518C" w:rsidP="000D518C">
            <w:pPr>
              <w:spacing w:line="200" w:lineRule="exact"/>
              <w:rPr>
                <w:bCs/>
                <w:sz w:val="14"/>
              </w:rPr>
            </w:pPr>
            <w:r w:rsidRPr="005A6EEC">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0624AC" w:rsidRDefault="000624AC">
      <w:pPr>
        <w:pStyle w:val="Pressemitteilung"/>
      </w:pPr>
    </w:p>
    <w:p w:rsidR="00E17602" w:rsidRDefault="000624AC">
      <w:pPr>
        <w:pStyle w:val="Pressemitteilung"/>
      </w:pPr>
      <w:r>
        <w:rPr>
          <w:rFonts w:cs="Arial"/>
          <w:noProof/>
          <w:color w:val="FF0000"/>
          <w:szCs w:val="22"/>
          <w:lang w:eastAsia="zh-CN"/>
        </w:rPr>
        <w:drawing>
          <wp:anchor distT="0" distB="0" distL="114300" distR="114300" simplePos="0" relativeHeight="251660288" behindDoc="0" locked="0" layoutInCell="1" allowOverlap="1" wp14:anchorId="6493B015" wp14:editId="10D6EF2C">
            <wp:simplePos x="0" y="0"/>
            <wp:positionH relativeFrom="column">
              <wp:posOffset>-55880</wp:posOffset>
            </wp:positionH>
            <wp:positionV relativeFrom="paragraph">
              <wp:posOffset>-1950085</wp:posOffset>
            </wp:positionV>
            <wp:extent cx="1820333" cy="1820333"/>
            <wp:effectExtent l="0" t="0" r="889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 FOYA Facility-of-the-Future_process-innovation_Supplier_300dpi_cmyk (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0333" cy="1820333"/>
                    </a:xfrm>
                    <a:prstGeom prst="rect">
                      <a:avLst/>
                    </a:prstGeom>
                  </pic:spPr>
                </pic:pic>
              </a:graphicData>
            </a:graphic>
            <wp14:sizeRelH relativeFrom="page">
              <wp14:pctWidth>0</wp14:pctWidth>
            </wp14:sizeRelH>
            <wp14:sizeRelV relativeFrom="page">
              <wp14:pctHeight>0</wp14:pctHeight>
            </wp14:sizeRelV>
          </wp:anchor>
        </w:drawing>
      </w:r>
      <w:r w:rsidR="00E17602">
        <w:t>Pressemitteilung</w:t>
      </w:r>
    </w:p>
    <w:p w:rsidR="00E17602" w:rsidRDefault="00E17602"/>
    <w:p w:rsidR="009B2613" w:rsidRDefault="009B2613" w:rsidP="00A84FD5">
      <w:pPr>
        <w:rPr>
          <w:rFonts w:cs="Arial"/>
          <w:b/>
          <w:bCs/>
          <w:szCs w:val="22"/>
        </w:rPr>
      </w:pPr>
    </w:p>
    <w:p w:rsidR="00855AD0" w:rsidRPr="00855AD0" w:rsidRDefault="00995D8C" w:rsidP="00995D8C">
      <w:r w:rsidRPr="00995D8C">
        <w:rPr>
          <w:rFonts w:cs="Arial"/>
          <w:b/>
          <w:bCs/>
          <w:sz w:val="28"/>
          <w:szCs w:val="28"/>
        </w:rPr>
        <w:t>Coperion K-</w:t>
      </w:r>
      <w:proofErr w:type="spellStart"/>
      <w:r w:rsidRPr="00995D8C">
        <w:rPr>
          <w:rFonts w:cs="Arial"/>
          <w:b/>
          <w:bCs/>
          <w:sz w:val="28"/>
          <w:szCs w:val="28"/>
        </w:rPr>
        <w:t>Tron</w:t>
      </w:r>
      <w:proofErr w:type="spellEnd"/>
      <w:r w:rsidRPr="00995D8C">
        <w:rPr>
          <w:rFonts w:cs="Arial"/>
          <w:b/>
          <w:bCs/>
          <w:sz w:val="28"/>
          <w:szCs w:val="28"/>
        </w:rPr>
        <w:t xml:space="preserve"> </w:t>
      </w:r>
      <w:r>
        <w:rPr>
          <w:rFonts w:cs="Arial"/>
          <w:b/>
          <w:bCs/>
          <w:sz w:val="28"/>
          <w:szCs w:val="28"/>
        </w:rPr>
        <w:t>liefert Ausrüstungen für</w:t>
      </w:r>
      <w:r w:rsidRPr="00995D8C">
        <w:rPr>
          <w:rFonts w:cs="Arial"/>
          <w:b/>
          <w:bCs/>
          <w:sz w:val="28"/>
          <w:szCs w:val="28"/>
        </w:rPr>
        <w:t xml:space="preserve"> Eli Lilly </w:t>
      </w:r>
      <w:proofErr w:type="spellStart"/>
      <w:r w:rsidRPr="00995D8C">
        <w:rPr>
          <w:rFonts w:cs="Arial"/>
          <w:b/>
          <w:bCs/>
          <w:sz w:val="28"/>
          <w:szCs w:val="28"/>
        </w:rPr>
        <w:t>and</w:t>
      </w:r>
      <w:proofErr w:type="spellEnd"/>
      <w:r w:rsidRPr="00995D8C">
        <w:rPr>
          <w:rFonts w:cs="Arial"/>
          <w:b/>
          <w:bCs/>
          <w:sz w:val="28"/>
          <w:szCs w:val="28"/>
        </w:rPr>
        <w:t xml:space="preserve"> Company, Gewinner der ISPE-Auszeichnungen Facility </w:t>
      </w:r>
      <w:proofErr w:type="spellStart"/>
      <w:r w:rsidRPr="00995D8C">
        <w:rPr>
          <w:rFonts w:cs="Arial"/>
          <w:b/>
          <w:bCs/>
          <w:sz w:val="28"/>
          <w:szCs w:val="28"/>
        </w:rPr>
        <w:t>of</w:t>
      </w:r>
      <w:proofErr w:type="spellEnd"/>
      <w:r w:rsidRPr="00995D8C">
        <w:rPr>
          <w:rFonts w:cs="Arial"/>
          <w:b/>
          <w:bCs/>
          <w:sz w:val="28"/>
          <w:szCs w:val="28"/>
        </w:rPr>
        <w:t xml:space="preserve"> </w:t>
      </w:r>
      <w:proofErr w:type="spellStart"/>
      <w:r w:rsidRPr="00995D8C">
        <w:rPr>
          <w:rFonts w:cs="Arial"/>
          <w:b/>
          <w:bCs/>
          <w:sz w:val="28"/>
          <w:szCs w:val="28"/>
        </w:rPr>
        <w:t>the</w:t>
      </w:r>
      <w:proofErr w:type="spellEnd"/>
      <w:r w:rsidRPr="00995D8C">
        <w:rPr>
          <w:rFonts w:cs="Arial"/>
          <w:b/>
          <w:bCs/>
          <w:sz w:val="28"/>
          <w:szCs w:val="28"/>
        </w:rPr>
        <w:t xml:space="preserve"> Future und Process Innovation</w:t>
      </w:r>
    </w:p>
    <w:p w:rsidR="00267DF3" w:rsidRDefault="00267DF3" w:rsidP="003B7C0E">
      <w:pPr>
        <w:pStyle w:val="berschrift14p"/>
        <w:spacing w:line="360" w:lineRule="auto"/>
        <w:rPr>
          <w:b w:val="0"/>
          <w:i/>
          <w:sz w:val="22"/>
          <w:szCs w:val="22"/>
        </w:rPr>
      </w:pPr>
    </w:p>
    <w:p w:rsidR="00995D8C" w:rsidRPr="00415C98" w:rsidRDefault="00995D8C" w:rsidP="00995D8C">
      <w:pPr>
        <w:spacing w:line="360" w:lineRule="auto"/>
        <w:rPr>
          <w:rFonts w:cs="Arial"/>
          <w:szCs w:val="22"/>
        </w:rPr>
      </w:pPr>
      <w:r w:rsidRPr="00995D8C">
        <w:rPr>
          <w:rFonts w:cs="Arial"/>
          <w:bCs/>
          <w:i/>
          <w:iCs/>
          <w:szCs w:val="22"/>
        </w:rPr>
        <w:t>Sewell, NJ, USA, im März 2017</w:t>
      </w:r>
      <w:r>
        <w:rPr>
          <w:rFonts w:cs="Arial"/>
          <w:szCs w:val="22"/>
        </w:rPr>
        <w:t xml:space="preserve"> – Coperion K-</w:t>
      </w:r>
      <w:proofErr w:type="spellStart"/>
      <w:r>
        <w:rPr>
          <w:rFonts w:cs="Arial"/>
          <w:szCs w:val="22"/>
        </w:rPr>
        <w:t>Tron</w:t>
      </w:r>
      <w:proofErr w:type="spellEnd"/>
      <w:r>
        <w:rPr>
          <w:rFonts w:cs="Arial"/>
          <w:szCs w:val="22"/>
        </w:rPr>
        <w:t xml:space="preserve">, Sewell, NJ, USA, ist stolz und fühlt sich geehrt, dem Zuliefererteam von Eli Lilly anzugehören. Das Unternehmen hat die diesjährigen renommierten ISPE FOYA (International Society </w:t>
      </w:r>
      <w:proofErr w:type="spellStart"/>
      <w:r>
        <w:rPr>
          <w:rFonts w:cs="Arial"/>
          <w:szCs w:val="22"/>
        </w:rPr>
        <w:t>for</w:t>
      </w:r>
      <w:proofErr w:type="spellEnd"/>
      <w:r>
        <w:rPr>
          <w:rFonts w:cs="Arial"/>
          <w:szCs w:val="22"/>
        </w:rPr>
        <w:t xml:space="preserve"> </w:t>
      </w:r>
      <w:proofErr w:type="spellStart"/>
      <w:r>
        <w:rPr>
          <w:rFonts w:cs="Arial"/>
          <w:szCs w:val="22"/>
        </w:rPr>
        <w:t>Pharmaceutical</w:t>
      </w:r>
      <w:proofErr w:type="spellEnd"/>
      <w:r>
        <w:rPr>
          <w:rFonts w:cs="Arial"/>
          <w:szCs w:val="22"/>
        </w:rPr>
        <w:t xml:space="preserve"> Engineering (ISPE) Facility </w:t>
      </w:r>
      <w:proofErr w:type="spellStart"/>
      <w:r>
        <w:rPr>
          <w:rFonts w:cs="Arial"/>
          <w:szCs w:val="22"/>
        </w:rPr>
        <w:t>of</w:t>
      </w:r>
      <w:proofErr w:type="spellEnd"/>
      <w:r>
        <w:rPr>
          <w:rFonts w:cs="Arial"/>
          <w:szCs w:val="22"/>
        </w:rPr>
        <w:t xml:space="preserve"> </w:t>
      </w:r>
      <w:proofErr w:type="spellStart"/>
      <w:r>
        <w:rPr>
          <w:rFonts w:cs="Arial"/>
          <w:szCs w:val="22"/>
        </w:rPr>
        <w:t>the</w:t>
      </w:r>
      <w:proofErr w:type="spellEnd"/>
      <w:r>
        <w:rPr>
          <w:rFonts w:cs="Arial"/>
          <w:szCs w:val="22"/>
        </w:rPr>
        <w:t xml:space="preserve"> Year Awards) in zwei wichtigen Kategorien gewonnen – „Facility </w:t>
      </w:r>
      <w:proofErr w:type="spellStart"/>
      <w:r>
        <w:rPr>
          <w:rFonts w:cs="Arial"/>
          <w:szCs w:val="22"/>
        </w:rPr>
        <w:t>of</w:t>
      </w:r>
      <w:proofErr w:type="spellEnd"/>
      <w:r>
        <w:rPr>
          <w:rFonts w:cs="Arial"/>
          <w:szCs w:val="22"/>
        </w:rPr>
        <w:t xml:space="preserve"> </w:t>
      </w:r>
      <w:proofErr w:type="spellStart"/>
      <w:r>
        <w:rPr>
          <w:rFonts w:cs="Arial"/>
          <w:szCs w:val="22"/>
        </w:rPr>
        <w:t>the</w:t>
      </w:r>
      <w:proofErr w:type="spellEnd"/>
      <w:r>
        <w:rPr>
          <w:rFonts w:cs="Arial"/>
          <w:szCs w:val="22"/>
        </w:rPr>
        <w:t xml:space="preserve"> Future“ und „Process Innovation“. Coperion K-</w:t>
      </w:r>
      <w:proofErr w:type="spellStart"/>
      <w:r>
        <w:rPr>
          <w:rFonts w:cs="Arial"/>
          <w:szCs w:val="22"/>
        </w:rPr>
        <w:t>Tron</w:t>
      </w:r>
      <w:proofErr w:type="spellEnd"/>
      <w:r>
        <w:rPr>
          <w:rFonts w:cs="Arial"/>
          <w:szCs w:val="22"/>
        </w:rPr>
        <w:t xml:space="preserve"> lieferte die Differentialdosierwaagen und die Fördertechnik für ein kontinuierliches Verfahren und hat mit dem Eli Lilly-Team bei der Integration und dem Aufbau der </w:t>
      </w:r>
      <w:r w:rsidRPr="00145B34">
        <w:rPr>
          <w:rFonts w:cs="Arial"/>
          <w:szCs w:val="22"/>
        </w:rPr>
        <w:t>Dosiersysteme i</w:t>
      </w:r>
      <w:r>
        <w:rPr>
          <w:rFonts w:cs="Arial"/>
          <w:szCs w:val="22"/>
        </w:rPr>
        <w:t>n allen Werken eng zusammengearbeitet.</w:t>
      </w:r>
    </w:p>
    <w:p w:rsidR="00995D8C" w:rsidRDefault="00995D8C" w:rsidP="00995D8C">
      <w:pPr>
        <w:spacing w:line="360" w:lineRule="auto"/>
        <w:rPr>
          <w:rFonts w:cs="Arial"/>
          <w:b/>
          <w:szCs w:val="22"/>
        </w:rPr>
      </w:pPr>
    </w:p>
    <w:p w:rsidR="00995D8C" w:rsidRDefault="00995D8C" w:rsidP="00995D8C">
      <w:pPr>
        <w:spacing w:line="360" w:lineRule="auto"/>
        <w:rPr>
          <w:rFonts w:cs="Arial"/>
          <w:b/>
          <w:szCs w:val="22"/>
        </w:rPr>
      </w:pPr>
      <w:r>
        <w:rPr>
          <w:rFonts w:cs="Arial"/>
          <w:b/>
          <w:szCs w:val="22"/>
        </w:rPr>
        <w:t>Exzellente Lösungen für Dosierung und Schüttgut-Handling in kontinuierlichen und halbkontinuierlichen Verfahren</w:t>
      </w:r>
    </w:p>
    <w:p w:rsidR="00995D8C" w:rsidRPr="00415C98" w:rsidRDefault="00995D8C" w:rsidP="00995D8C">
      <w:pPr>
        <w:suppressAutoHyphens/>
        <w:spacing w:line="360" w:lineRule="auto"/>
        <w:rPr>
          <w:rFonts w:cs="Arial"/>
          <w:b/>
          <w:szCs w:val="22"/>
        </w:rPr>
      </w:pPr>
      <w:r>
        <w:rPr>
          <w:rFonts w:cs="Arial"/>
          <w:szCs w:val="22"/>
        </w:rPr>
        <w:t>Als Mitglied des Zuliefererteams von Eli Lilly hat Coperion K-</w:t>
      </w:r>
      <w:proofErr w:type="spellStart"/>
      <w:r>
        <w:rPr>
          <w:rFonts w:cs="Arial"/>
          <w:szCs w:val="22"/>
        </w:rPr>
        <w:t>Tron</w:t>
      </w:r>
      <w:proofErr w:type="spellEnd"/>
      <w:r>
        <w:rPr>
          <w:rFonts w:cs="Arial"/>
          <w:szCs w:val="22"/>
        </w:rPr>
        <w:t xml:space="preserve"> Dosier- und Fördertechnik-Lösungen für das kontinuierliche Verfahren geliefert. Ein pharmazeutisches Dosiergerät von Coperion K-</w:t>
      </w:r>
      <w:proofErr w:type="spellStart"/>
      <w:r>
        <w:rPr>
          <w:rFonts w:cs="Arial"/>
          <w:szCs w:val="22"/>
        </w:rPr>
        <w:t>Tron</w:t>
      </w:r>
      <w:proofErr w:type="spellEnd"/>
      <w:r>
        <w:rPr>
          <w:rFonts w:cs="Arial"/>
          <w:szCs w:val="22"/>
        </w:rPr>
        <w:t xml:space="preserve"> wird für die Dosierung von jedem Bestandteil der Direktkompressionsmischung verwendet. Die herausragende Präzision – in Verbindung mit einer innovativen Steuerung – macht die gravimetrische Dosierung von Coperion K-</w:t>
      </w:r>
      <w:proofErr w:type="spellStart"/>
      <w:r>
        <w:rPr>
          <w:rFonts w:cs="Arial"/>
          <w:szCs w:val="22"/>
        </w:rPr>
        <w:t>Tron</w:t>
      </w:r>
      <w:proofErr w:type="spellEnd"/>
      <w:r>
        <w:rPr>
          <w:rFonts w:cs="Arial"/>
          <w:szCs w:val="22"/>
        </w:rPr>
        <w:t xml:space="preserve"> zu einer wesentlichen Erfolgskomponente des kontinuierlichen Direktkompressionsverfahrens. Die speziell für einfachen Zugang und problemlose Reinigung entwickelte Konstruktion sowie integrierte Steuerungsplattformen waren ebenfalls wichtige Merkmale der kontinuierlichen Dosiersysteme bei Eli Lilly.</w:t>
      </w:r>
    </w:p>
    <w:p w:rsidR="00995D8C" w:rsidRPr="00415C98" w:rsidRDefault="00995D8C" w:rsidP="00995D8C">
      <w:pPr>
        <w:suppressAutoHyphens/>
        <w:spacing w:before="240" w:line="360" w:lineRule="auto"/>
        <w:rPr>
          <w:rFonts w:cs="Arial"/>
          <w:color w:val="000000" w:themeColor="text1"/>
          <w:szCs w:val="22"/>
        </w:rPr>
      </w:pPr>
      <w:r>
        <w:rPr>
          <w:rFonts w:cs="Arial"/>
          <w:color w:val="000000" w:themeColor="text1"/>
          <w:szCs w:val="22"/>
        </w:rPr>
        <w:lastRenderedPageBreak/>
        <w:t>Sharon Nowak, Global Business Development Manager, Coperion K-</w:t>
      </w:r>
      <w:proofErr w:type="spellStart"/>
      <w:r>
        <w:rPr>
          <w:rFonts w:cs="Arial"/>
          <w:color w:val="000000" w:themeColor="text1"/>
          <w:szCs w:val="22"/>
        </w:rPr>
        <w:t>Tron</w:t>
      </w:r>
      <w:proofErr w:type="spellEnd"/>
      <w:r>
        <w:rPr>
          <w:rFonts w:cs="Arial"/>
          <w:color w:val="000000" w:themeColor="text1"/>
          <w:szCs w:val="22"/>
        </w:rPr>
        <w:t xml:space="preserve"> sagt: „</w:t>
      </w:r>
      <w:r>
        <w:rPr>
          <w:rFonts w:cs="Arial"/>
          <w:i/>
          <w:color w:val="000000" w:themeColor="text1"/>
          <w:szCs w:val="22"/>
        </w:rPr>
        <w:t>Das gesamte Team bei Eli Lilly hat hart gearbeitet – nicht nur an der Entwicklung einer Anlage nach dem neuesten Stand der Technik, sondern auch im Hinblick auf die Nutzung der optimalen Automationstechnologie und Datenerfassung, um stets genaue Informationen über das Verfahren zu erhalten. Vor allem aber haben die Beteiligten die maßgeblichen Methoden veranschaulicht, um diese Kenntnisse und Daten in die Definition eines kontrollierten Zustands einfließen zu lassen. Eli Lilly trägt mit Sicherheit dazu bei, den Weg der pharmazeutischen kontinuierlichen Verarbeitung zu ebnen. Coperion K-</w:t>
      </w:r>
      <w:proofErr w:type="spellStart"/>
      <w:r>
        <w:rPr>
          <w:rFonts w:cs="Arial"/>
          <w:i/>
          <w:color w:val="000000" w:themeColor="text1"/>
          <w:szCs w:val="22"/>
        </w:rPr>
        <w:t>Tron</w:t>
      </w:r>
      <w:proofErr w:type="spellEnd"/>
      <w:r>
        <w:rPr>
          <w:rFonts w:cs="Arial"/>
          <w:i/>
          <w:color w:val="000000" w:themeColor="text1"/>
          <w:szCs w:val="22"/>
        </w:rPr>
        <w:t xml:space="preserve"> ist stolz darauf, Teil dieses Erfolgs zu sein.</w:t>
      </w:r>
      <w:r>
        <w:rPr>
          <w:rFonts w:cs="Arial"/>
          <w:color w:val="000000" w:themeColor="text1"/>
          <w:szCs w:val="22"/>
        </w:rPr>
        <w:t>“</w:t>
      </w:r>
    </w:p>
    <w:p w:rsidR="00995D8C" w:rsidRDefault="00995D8C" w:rsidP="00995D8C">
      <w:pPr>
        <w:spacing w:line="360" w:lineRule="auto"/>
        <w:rPr>
          <w:rFonts w:cs="Arial"/>
          <w:b/>
          <w:szCs w:val="22"/>
        </w:rPr>
      </w:pPr>
    </w:p>
    <w:p w:rsidR="00995D8C" w:rsidRPr="00145B34" w:rsidRDefault="00995D8C" w:rsidP="00995D8C">
      <w:pPr>
        <w:spacing w:line="360" w:lineRule="auto"/>
        <w:rPr>
          <w:rFonts w:cs="Arial"/>
          <w:b/>
          <w:szCs w:val="22"/>
          <w:lang w:val="en-US"/>
        </w:rPr>
      </w:pPr>
      <w:r w:rsidRPr="00145B34">
        <w:rPr>
          <w:rFonts w:cs="Arial"/>
          <w:b/>
          <w:szCs w:val="22"/>
          <w:lang w:val="en-US"/>
        </w:rPr>
        <w:t>Der „Facility of the Future Award“</w:t>
      </w:r>
    </w:p>
    <w:p w:rsidR="00995D8C" w:rsidRPr="00415C98" w:rsidRDefault="00995D8C" w:rsidP="00995D8C">
      <w:pPr>
        <w:spacing w:line="360" w:lineRule="auto"/>
        <w:rPr>
          <w:rFonts w:cs="Arial"/>
          <w:szCs w:val="22"/>
        </w:rPr>
      </w:pPr>
      <w:r>
        <w:rPr>
          <w:rFonts w:cs="Arial"/>
          <w:szCs w:val="22"/>
        </w:rPr>
        <w:t xml:space="preserve">Laut der International Society </w:t>
      </w:r>
      <w:proofErr w:type="spellStart"/>
      <w:r>
        <w:rPr>
          <w:rFonts w:cs="Arial"/>
          <w:szCs w:val="22"/>
        </w:rPr>
        <w:t>for</w:t>
      </w:r>
      <w:proofErr w:type="spellEnd"/>
      <w:r>
        <w:rPr>
          <w:rFonts w:cs="Arial"/>
          <w:szCs w:val="22"/>
        </w:rPr>
        <w:t xml:space="preserve"> </w:t>
      </w:r>
      <w:proofErr w:type="spellStart"/>
      <w:r>
        <w:rPr>
          <w:rFonts w:cs="Arial"/>
          <w:szCs w:val="22"/>
        </w:rPr>
        <w:t>Pharmaceutical</w:t>
      </w:r>
      <w:proofErr w:type="spellEnd"/>
      <w:r>
        <w:rPr>
          <w:rFonts w:cs="Arial"/>
          <w:szCs w:val="22"/>
        </w:rPr>
        <w:t xml:space="preserve"> Engineering (ISPE) konzentrieren sich die Juroren bei der Bewertung von Nominierungen, die für den „Facility </w:t>
      </w:r>
      <w:proofErr w:type="spellStart"/>
      <w:r>
        <w:rPr>
          <w:rFonts w:cs="Arial"/>
          <w:szCs w:val="22"/>
        </w:rPr>
        <w:t>of</w:t>
      </w:r>
      <w:proofErr w:type="spellEnd"/>
      <w:r>
        <w:rPr>
          <w:rFonts w:cs="Arial"/>
          <w:szCs w:val="22"/>
        </w:rPr>
        <w:t xml:space="preserve"> </w:t>
      </w:r>
      <w:proofErr w:type="spellStart"/>
      <w:r>
        <w:rPr>
          <w:rFonts w:cs="Arial"/>
          <w:szCs w:val="22"/>
        </w:rPr>
        <w:t>the</w:t>
      </w:r>
      <w:proofErr w:type="spellEnd"/>
      <w:r>
        <w:rPr>
          <w:rFonts w:cs="Arial"/>
          <w:szCs w:val="22"/>
        </w:rPr>
        <w:t xml:space="preserve"> Future Award“ in Frage kommen, auf die Anwendung von Technologie sowie auf die Projektumsetzung und deren Auswirkungen auf die Arbeitsweise der Pharma-Industrie. Die Prozessentwicklung, der Einsatz für Produktionsplattformen sowie die Nutzung von drei Produktionsanlagen für die reproduzierbare, betriebsfähige Herstellung einer festen oralen Dosierungsform im kontinuierlichen Verfahren haben Eli Lilly zu einem würdigen Gewinner gemacht.   </w:t>
      </w:r>
    </w:p>
    <w:p w:rsidR="00995D8C" w:rsidRDefault="00995D8C" w:rsidP="00995D8C">
      <w:pPr>
        <w:suppressAutoHyphens/>
        <w:spacing w:before="240" w:line="360" w:lineRule="auto"/>
        <w:rPr>
          <w:rFonts w:cs="Arial"/>
          <w:szCs w:val="22"/>
        </w:rPr>
      </w:pPr>
      <w:r>
        <w:rPr>
          <w:rFonts w:cs="Arial"/>
          <w:b/>
          <w:szCs w:val="22"/>
        </w:rPr>
        <w:t xml:space="preserve">Der „Process </w:t>
      </w:r>
      <w:proofErr w:type="spellStart"/>
      <w:r>
        <w:rPr>
          <w:rFonts w:cs="Arial"/>
          <w:b/>
          <w:szCs w:val="22"/>
        </w:rPr>
        <w:t>Innovations</w:t>
      </w:r>
      <w:proofErr w:type="spellEnd"/>
      <w:r>
        <w:rPr>
          <w:rFonts w:cs="Arial"/>
          <w:b/>
          <w:szCs w:val="22"/>
        </w:rPr>
        <w:t xml:space="preserve"> Award“</w:t>
      </w:r>
      <w:r>
        <w:rPr>
          <w:rFonts w:cs="Arial"/>
          <w:b/>
          <w:szCs w:val="22"/>
        </w:rPr>
        <w:br/>
      </w:r>
      <w:r>
        <w:rPr>
          <w:rFonts w:cs="Arial"/>
          <w:szCs w:val="22"/>
        </w:rPr>
        <w:t xml:space="preserve">Mit dem „Process Innovation Award“ werden neuartige technische Entwicklungen im Herstellungsverfahren bestehender oder neuer Produktionsstätten ausgezeichnet, die </w:t>
      </w:r>
      <w:r w:rsidRPr="00D45FDE">
        <w:rPr>
          <w:rFonts w:cs="Arial"/>
          <w:szCs w:val="22"/>
        </w:rPr>
        <w:t>innovative Anwendungen in der Verarbeitung</w:t>
      </w:r>
      <w:r>
        <w:rPr>
          <w:rFonts w:cs="Arial"/>
          <w:szCs w:val="22"/>
        </w:rPr>
        <w:t xml:space="preserve"> und</w:t>
      </w:r>
      <w:r w:rsidRPr="00D45FDE">
        <w:rPr>
          <w:rFonts w:cs="Arial"/>
          <w:szCs w:val="22"/>
        </w:rPr>
        <w:t xml:space="preserve"> </w:t>
      </w:r>
      <w:r>
        <w:rPr>
          <w:rFonts w:cs="Arial"/>
          <w:szCs w:val="22"/>
        </w:rPr>
        <w:t>Herstellung sowie</w:t>
      </w:r>
      <w:r w:rsidRPr="00D45FDE">
        <w:rPr>
          <w:rFonts w:cs="Arial"/>
          <w:szCs w:val="22"/>
        </w:rPr>
        <w:t xml:space="preserve"> wissenschaftliche Ansätze vorantreiben</w:t>
      </w:r>
      <w:r>
        <w:rPr>
          <w:rFonts w:cs="Arial"/>
          <w:szCs w:val="22"/>
        </w:rPr>
        <w:t xml:space="preserve"> – und damit </w:t>
      </w:r>
      <w:r w:rsidRPr="00D45FDE">
        <w:rPr>
          <w:rFonts w:cs="Arial"/>
          <w:szCs w:val="22"/>
        </w:rPr>
        <w:t xml:space="preserve">bestehende oder neue Herausforderungen in der Industrie </w:t>
      </w:r>
      <w:r>
        <w:rPr>
          <w:rFonts w:cs="Arial"/>
          <w:szCs w:val="22"/>
        </w:rPr>
        <w:t>weiter</w:t>
      </w:r>
      <w:r w:rsidRPr="00D45FDE">
        <w:rPr>
          <w:rFonts w:cs="Arial"/>
          <w:szCs w:val="22"/>
        </w:rPr>
        <w:t>entwickeln.</w:t>
      </w:r>
      <w:r>
        <w:rPr>
          <w:rFonts w:cs="Arial"/>
          <w:szCs w:val="22"/>
        </w:rPr>
        <w:t xml:space="preserve"> Laut der ISPE hat Eli Lilly </w:t>
      </w:r>
      <w:proofErr w:type="spellStart"/>
      <w:r>
        <w:rPr>
          <w:rFonts w:cs="Arial"/>
          <w:szCs w:val="22"/>
        </w:rPr>
        <w:t>and</w:t>
      </w:r>
      <w:proofErr w:type="spellEnd"/>
      <w:r>
        <w:rPr>
          <w:rFonts w:cs="Arial"/>
          <w:szCs w:val="22"/>
        </w:rPr>
        <w:t xml:space="preserve"> Company die Auszeichnung in der Kategorie „Process Innovation“ für die Umsetzung des kontinuierlichen Direktkompressionsverfahrens und anderer Prozessinnovationen in den Anlagen für die Herstellung fester Darreichungsformen erhalten. Die Anlage ist Teil eines zukunftsorientierten, kontinuierlichen Fertigungsnetzwerks bei Eli Lilly, was für die Jury bei der Nominierung als Gewinner ebenfalls von hoher Bedeutung war. </w:t>
      </w:r>
    </w:p>
    <w:p w:rsidR="00995D8C" w:rsidRDefault="00995D8C" w:rsidP="00995D8C">
      <w:pPr>
        <w:suppressAutoHyphens/>
        <w:spacing w:before="240" w:line="360" w:lineRule="auto"/>
        <w:rPr>
          <w:rFonts w:cs="Arial"/>
          <w:szCs w:val="22"/>
        </w:rPr>
      </w:pPr>
    </w:p>
    <w:p w:rsidR="00995D8C" w:rsidRDefault="00995D8C" w:rsidP="00995D8C">
      <w:pPr>
        <w:suppressAutoHyphens/>
        <w:spacing w:before="240" w:line="360" w:lineRule="auto"/>
        <w:rPr>
          <w:rFonts w:cs="Arial"/>
          <w:szCs w:val="22"/>
        </w:rPr>
      </w:pPr>
    </w:p>
    <w:p w:rsidR="00995D8C" w:rsidRDefault="00995D8C" w:rsidP="00995D8C">
      <w:pPr>
        <w:suppressAutoHyphens/>
        <w:spacing w:before="240" w:line="360" w:lineRule="auto"/>
        <w:rPr>
          <w:rFonts w:cs="Arial"/>
          <w:szCs w:val="22"/>
        </w:rPr>
      </w:pPr>
    </w:p>
    <w:p w:rsidR="00995D8C" w:rsidRDefault="00995D8C" w:rsidP="00995D8C">
      <w:pPr>
        <w:suppressAutoHyphens/>
        <w:spacing w:before="240" w:line="360" w:lineRule="auto"/>
        <w:rPr>
          <w:rFonts w:cs="Arial"/>
          <w:szCs w:val="22"/>
        </w:rPr>
      </w:pPr>
    </w:p>
    <w:p w:rsidR="00995D8C" w:rsidRPr="00995D8C" w:rsidRDefault="00995D8C" w:rsidP="00995D8C">
      <w:pPr>
        <w:suppressAutoHyphens/>
        <w:spacing w:before="240" w:line="360" w:lineRule="auto"/>
        <w:rPr>
          <w:rFonts w:cs="Arial"/>
          <w:i/>
          <w:iCs/>
          <w:szCs w:val="22"/>
        </w:rPr>
      </w:pPr>
      <w:r w:rsidRPr="00995D8C">
        <w:rPr>
          <w:i/>
          <w:iCs/>
        </w:rPr>
        <w:t>Coperion K-</w:t>
      </w:r>
      <w:proofErr w:type="spellStart"/>
      <w:r w:rsidRPr="00995D8C">
        <w:rPr>
          <w:i/>
          <w:iCs/>
        </w:rPr>
        <w:t>Tron</w:t>
      </w:r>
      <w:proofErr w:type="spellEnd"/>
      <w:r w:rsidRPr="00995D8C">
        <w:rPr>
          <w:i/>
          <w:iCs/>
        </w:rPr>
        <w:t xml:space="preserve"> pharmazeutischer </w:t>
      </w:r>
      <w:proofErr w:type="spellStart"/>
      <w:r w:rsidRPr="00995D8C">
        <w:rPr>
          <w:i/>
          <w:iCs/>
        </w:rPr>
        <w:t>Dosierer</w:t>
      </w:r>
      <w:proofErr w:type="spellEnd"/>
      <w:r w:rsidRPr="00995D8C">
        <w:rPr>
          <w:i/>
          <w:iCs/>
        </w:rPr>
        <w:t>, K-PH-ML-D5-KT35</w:t>
      </w:r>
      <w:r w:rsidRPr="00995D8C">
        <w:rPr>
          <w:i/>
          <w:iCs/>
        </w:rPr>
        <w:br/>
      </w:r>
      <w:r w:rsidRPr="00995D8C">
        <w:rPr>
          <w:rFonts w:cs="Arial"/>
          <w:i/>
          <w:iCs/>
          <w:szCs w:val="22"/>
        </w:rPr>
        <w:t>Bild: Coperion</w:t>
      </w:r>
      <w:r w:rsidR="008822E0">
        <w:rPr>
          <w:rFonts w:cs="Arial"/>
          <w:i/>
          <w:iCs/>
          <w:szCs w:val="22"/>
        </w:rPr>
        <w:t xml:space="preserve"> K-Tron</w:t>
      </w:r>
      <w:r w:rsidRPr="00995D8C">
        <w:rPr>
          <w:rFonts w:cs="Arial"/>
          <w:i/>
          <w:iCs/>
          <w:szCs w:val="22"/>
        </w:rPr>
        <w:t xml:space="preserve"> Sewell, NJ, USA</w:t>
      </w:r>
    </w:p>
    <w:p w:rsidR="00F87078" w:rsidRDefault="00731A1B" w:rsidP="00995D8C">
      <w:pPr>
        <w:spacing w:line="360" w:lineRule="auto"/>
      </w:pPr>
      <w:r w:rsidRPr="00731A1B">
        <w:t xml:space="preserve"> </w:t>
      </w:r>
    </w:p>
    <w:p w:rsidR="00B2749F" w:rsidRDefault="00B2749F" w:rsidP="00995D8C">
      <w:pPr>
        <w:spacing w:line="360" w:lineRule="auto"/>
      </w:pPr>
    </w:p>
    <w:p w:rsidR="00B2749F" w:rsidRPr="002D4FCC" w:rsidRDefault="00B2749F" w:rsidP="00995D8C">
      <w:pPr>
        <w:spacing w:line="360" w:lineRule="auto"/>
      </w:pPr>
    </w:p>
    <w:p w:rsidR="00995D8C" w:rsidRDefault="00995D8C" w:rsidP="00995D8C">
      <w:pPr>
        <w:rPr>
          <w:rFonts w:cs="Arial"/>
          <w:sz w:val="20"/>
        </w:rPr>
      </w:pPr>
      <w:r>
        <w:rPr>
          <w:rFonts w:cs="Arial"/>
          <w:sz w:val="20"/>
        </w:rPr>
        <w:t>Coperion (</w:t>
      </w:r>
      <w:hyperlink r:id="rId10"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w:t>
      </w:r>
      <w:proofErr w:type="spellStart"/>
      <w:r>
        <w:rPr>
          <w:rFonts w:cs="Arial"/>
          <w:sz w:val="20"/>
        </w:rPr>
        <w:t>Tron</w:t>
      </w:r>
      <w:proofErr w:type="spellEnd"/>
      <w:r>
        <w:rPr>
          <w:rFonts w:cs="Arial"/>
          <w:sz w:val="20"/>
        </w:rPr>
        <w:t xml:space="preserve"> ist ein Teil der Division Equipment &amp; Systems.</w:t>
      </w:r>
    </w:p>
    <w:p w:rsidR="00F87078" w:rsidRDefault="00F87078" w:rsidP="00995D8C">
      <w:pPr>
        <w:spacing w:line="240" w:lineRule="atLeast"/>
      </w:pPr>
    </w:p>
    <w:p w:rsidR="005827E5" w:rsidRDefault="005827E5" w:rsidP="005827E5">
      <w:pPr>
        <w:pStyle w:val="Trennung"/>
        <w:spacing w:before="480" w:after="480"/>
      </w:pPr>
      <w:r w:rsidRPr="0094479B">
        <w:t></w:t>
      </w:r>
      <w:r w:rsidRPr="0094479B">
        <w:t></w:t>
      </w:r>
      <w:r w:rsidRPr="0094479B">
        <w:t></w:t>
      </w:r>
    </w:p>
    <w:p w:rsidR="00E17602" w:rsidRDefault="00E17602" w:rsidP="005827E5">
      <w:pPr>
        <w:tabs>
          <w:tab w:val="left" w:pos="90"/>
        </w:tabs>
        <w:snapToGrid w:val="0"/>
        <w:ind w:left="-74"/>
      </w:pPr>
    </w:p>
    <w:p w:rsidR="00E17602" w:rsidRDefault="00E17602" w:rsidP="00D061C0">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6" w:name="OLE_LINK1"/>
      <w:r w:rsidR="00D061C0">
        <w:rPr>
          <w:b/>
        </w:rPr>
        <w:fldChar w:fldCharType="begin"/>
      </w:r>
      <w:r w:rsidR="00D061C0">
        <w:rPr>
          <w:b/>
        </w:rPr>
        <w:instrText xml:space="preserve"> HYPERLINK "https://www.coperion.com/de/news-media/pressemitteilungen/" </w:instrText>
      </w:r>
      <w:r w:rsidR="00D061C0">
        <w:rPr>
          <w:b/>
        </w:rPr>
        <w:fldChar w:fldCharType="separate"/>
      </w:r>
      <w:r w:rsidR="00D061C0" w:rsidRPr="00D061C0">
        <w:rPr>
          <w:rStyle w:val="Hyperlink"/>
          <w:b/>
        </w:rPr>
        <w:t>https://www.coperion.com/de/news-media/pressemitteilungen/</w:t>
      </w:r>
      <w:r w:rsidR="00D061C0">
        <w:rPr>
          <w:b/>
        </w:rPr>
        <w:fldChar w:fldCharType="end"/>
      </w:r>
    </w:p>
    <w:bookmarkEnd w:id="6"/>
    <w:p w:rsidR="00E17602" w:rsidRDefault="00E17602">
      <w:pPr>
        <w:pStyle w:val="Internet"/>
        <w:pBdr>
          <w:bottom w:val="single" w:sz="8" w:space="0" w:color="auto"/>
        </w:pBdr>
        <w:ind w:right="-113"/>
        <w:rPr>
          <w:sz w:val="6"/>
        </w:rPr>
      </w:pPr>
      <w:r>
        <w:rPr>
          <w:sz w:val="6"/>
        </w:rPr>
        <w:t xml:space="preserve">  .</w:t>
      </w:r>
    </w:p>
    <w:p w:rsidR="00B2749F" w:rsidRDefault="00B2749F" w:rsidP="00995D8C">
      <w:pPr>
        <w:pStyle w:val="Beleg"/>
        <w:spacing w:before="360"/>
      </w:pPr>
    </w:p>
    <w:p w:rsidR="00E17602" w:rsidRDefault="00995D8C" w:rsidP="00995D8C">
      <w:pPr>
        <w:pStyle w:val="Beleg"/>
        <w:spacing w:before="360"/>
      </w:pPr>
      <w:bookmarkStart w:id="7" w:name="_GoBack"/>
      <w:bookmarkEnd w:id="7"/>
      <w:r>
        <w:br/>
      </w:r>
      <w:r w:rsidR="00E17602">
        <w:t xml:space="preserve">Redaktioneller Kontakt und Belegexemplare: </w:t>
      </w:r>
    </w:p>
    <w:p w:rsidR="00E17602" w:rsidRDefault="00E17602" w:rsidP="00950294">
      <w:pPr>
        <w:pStyle w:val="Konsens"/>
        <w:spacing w:before="120"/>
        <w:rPr>
          <w:szCs w:val="22"/>
        </w:rPr>
      </w:pPr>
      <w:r w:rsidRPr="00CE652C">
        <w:t xml:space="preserve">Dr. </w:t>
      </w:r>
      <w:r w:rsidR="00950294" w:rsidRPr="00CE652C">
        <w:t>Jörg Wolters</w:t>
      </w:r>
      <w:r w:rsidRPr="00CE652C">
        <w:t xml:space="preserve">,  KONSENS Public Relations GmbH &amp; Co. </w:t>
      </w:r>
      <w:r w:rsidRPr="00950294">
        <w:t>KG,</w:t>
      </w:r>
      <w:r w:rsidRPr="00950294">
        <w:br/>
        <w:t>Hans-</w:t>
      </w:r>
      <w:proofErr w:type="spellStart"/>
      <w:r w:rsidRPr="00950294">
        <w:t>Kudlich</w:t>
      </w:r>
      <w:proofErr w:type="spellEnd"/>
      <w:r w:rsidRPr="00950294">
        <w:t>-Straße 25,  D-64823 Groß-Umstadt</w:t>
      </w:r>
      <w:r w:rsidRPr="00950294">
        <w:br/>
        <w:t>Tel.:+49 (0)60 78/93 63-0,  Fax: +49 (0)60 78/93 63-20</w:t>
      </w:r>
      <w:r w:rsidRPr="00950294">
        <w:br/>
        <w:t xml:space="preserve">E-Mail:  </w:t>
      </w:r>
      <w:r w:rsidRPr="00950294">
        <w:rPr>
          <w:szCs w:val="22"/>
        </w:rPr>
        <w:t xml:space="preserve">mail@konsens.de,  Internet:  </w:t>
      </w:r>
      <w:hyperlink r:id="rId11" w:history="1">
        <w:r w:rsidRPr="00950294">
          <w:rPr>
            <w:rStyle w:val="Hyperlink"/>
            <w:szCs w:val="22"/>
          </w:rPr>
          <w:t>www.konsens.de</w:t>
        </w:r>
      </w:hyperlink>
    </w:p>
    <w:sectPr w:rsidR="00E17602" w:rsidSect="000624AC">
      <w:headerReference w:type="default" r:id="rId12"/>
      <w:footerReference w:type="default" r:id="rId13"/>
      <w:headerReference w:type="first" r:id="rId14"/>
      <w:footerReference w:type="first" r:id="rId15"/>
      <w:pgSz w:w="11907" w:h="16840" w:code="9"/>
      <w:pgMar w:top="880"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CB" w:rsidRDefault="004C74CB">
      <w:r>
        <w:separator/>
      </w:r>
    </w:p>
  </w:endnote>
  <w:endnote w:type="continuationSeparator" w:id="0">
    <w:p w:rsidR="004C74CB" w:rsidRDefault="004C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9" w:name="PageName"/>
          <w:bookmarkEnd w:id="9"/>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B2749F">
            <w:rPr>
              <w:rFonts w:cs="Arial"/>
              <w:noProof/>
              <w:sz w:val="14"/>
              <w:szCs w:val="14"/>
            </w:rPr>
            <w:t>3</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B2749F">
            <w:rPr>
              <w:rFonts w:cs="Arial"/>
              <w:noProof/>
              <w:sz w:val="14"/>
              <w:szCs w:val="14"/>
            </w:rPr>
            <w:t>3</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rsidR="00336917" w:rsidRDefault="00336917">
          <w:pPr>
            <w:rPr>
              <w:sz w:val="14"/>
            </w:rPr>
          </w:pPr>
          <w:bookmarkStart w:id="12" w:name="GeneralPartnerRechts"/>
          <w:bookmarkEnd w:id="12"/>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CB" w:rsidRDefault="004C74CB">
      <w:r>
        <w:separator/>
      </w:r>
    </w:p>
  </w:footnote>
  <w:footnote w:type="continuationSeparator" w:id="0">
    <w:p w:rsidR="004C74CB" w:rsidRDefault="004C7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AC" w:rsidRDefault="000624AC" w:rsidP="00566553">
    <w:pPr>
      <w:pStyle w:val="Kopfzeile"/>
      <w:tabs>
        <w:tab w:val="left" w:pos="5954"/>
        <w:tab w:val="left" w:pos="6237"/>
        <w:tab w:val="left" w:pos="6521"/>
      </w:tabs>
      <w:rPr>
        <w:rStyle w:val="Seitenzahl"/>
      </w:rPr>
    </w:pPr>
    <w:bookmarkStart w:id="8" w:name="Nummer"/>
    <w:bookmarkEnd w:id="8"/>
    <w:r>
      <w:rPr>
        <w:noProof/>
        <w:sz w:val="16"/>
        <w:szCs w:val="16"/>
        <w:lang w:eastAsia="zh-CN"/>
      </w:rPr>
      <w:drawing>
        <wp:anchor distT="0" distB="0" distL="114300" distR="114300" simplePos="0" relativeHeight="251660288" behindDoc="0" locked="0" layoutInCell="1" allowOverlap="1" wp14:anchorId="54CE112E" wp14:editId="0075F2D2">
          <wp:simplePos x="0" y="0"/>
          <wp:positionH relativeFrom="margin">
            <wp:posOffset>4088130</wp:posOffset>
          </wp:positionH>
          <wp:positionV relativeFrom="margin">
            <wp:posOffset>-1210945</wp:posOffset>
          </wp:positionV>
          <wp:extent cx="1833245" cy="432435"/>
          <wp:effectExtent l="0" t="0" r="0" b="5715"/>
          <wp:wrapSquare wrapText="bothSides"/>
          <wp:docPr id="1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3245" cy="432435"/>
                  </a:xfrm>
                  <a:prstGeom prst="rect">
                    <a:avLst/>
                  </a:prstGeom>
                </pic:spPr>
              </pic:pic>
            </a:graphicData>
          </a:graphic>
          <wp14:sizeRelH relativeFrom="margin">
            <wp14:pctWidth>0</wp14:pctWidth>
          </wp14:sizeRelH>
          <wp14:sizeRelV relativeFrom="margin">
            <wp14:pctHeight>0</wp14:pctHeight>
          </wp14:sizeRelV>
        </wp:anchor>
      </w:drawing>
    </w:r>
  </w:p>
  <w:p w:rsidR="000624AC" w:rsidRDefault="000624AC">
    <w:pPr>
      <w:pStyle w:val="Kopfzeile"/>
      <w:rPr>
        <w:rStyle w:val="Seitenzahl"/>
      </w:rPr>
    </w:pPr>
  </w:p>
  <w:p w:rsidR="000624AC" w:rsidRDefault="000624AC">
    <w:pPr>
      <w:pStyle w:val="Kopfzeile"/>
      <w:rPr>
        <w:rStyle w:val="Seitenzahl"/>
      </w:rPr>
    </w:pPr>
    <w:r>
      <w:rPr>
        <w:rStyle w:val="Seitenzahl"/>
      </w:rPr>
      <w:t>März 2017</w:t>
    </w:r>
  </w:p>
  <w:p w:rsidR="000624AC" w:rsidRDefault="000624AC">
    <w:pPr>
      <w:pStyle w:val="Kopfzeile"/>
      <w:rPr>
        <w:rStyle w:val="Seitenzahl"/>
      </w:rPr>
    </w:pPr>
  </w:p>
  <w:p w:rsidR="00336917" w:rsidRDefault="00336917">
    <w:pPr>
      <w:pStyle w:val="Kopfzeile"/>
      <w:rPr>
        <w:rStyle w:val="Seitenzahl"/>
      </w:rPr>
    </w:pPr>
  </w:p>
  <w:p w:rsidR="00336917" w:rsidRDefault="00336917">
    <w:pPr>
      <w:pStyle w:val="Kopfzeile"/>
    </w:pPr>
  </w:p>
  <w:p w:rsidR="000624AC" w:rsidRDefault="000624AC">
    <w:pPr>
      <w:pStyle w:val="Kopfzeile"/>
    </w:pPr>
  </w:p>
  <w:p w:rsidR="000624AC" w:rsidRDefault="000624A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917" w:rsidRDefault="000624AC" w:rsidP="00566553">
    <w:pPr>
      <w:pStyle w:val="Kopfzeile"/>
      <w:tabs>
        <w:tab w:val="left" w:pos="5954"/>
        <w:tab w:val="left" w:pos="6237"/>
        <w:tab w:val="left" w:pos="6521"/>
      </w:tabs>
      <w:rPr>
        <w:sz w:val="14"/>
        <w:szCs w:val="14"/>
      </w:rPr>
    </w:pPr>
    <w:bookmarkStart w:id="10" w:name="Vermerk"/>
    <w:bookmarkEnd w:id="10"/>
    <w:r>
      <w:rPr>
        <w:noProof/>
        <w:sz w:val="16"/>
        <w:szCs w:val="16"/>
        <w:lang w:eastAsia="zh-CN"/>
      </w:rPr>
      <w:drawing>
        <wp:anchor distT="0" distB="0" distL="114300" distR="114300" simplePos="0" relativeHeight="251658240" behindDoc="0" locked="0" layoutInCell="1" allowOverlap="1" wp14:anchorId="125D6779" wp14:editId="2457400F">
          <wp:simplePos x="0" y="0"/>
          <wp:positionH relativeFrom="margin">
            <wp:posOffset>4107815</wp:posOffset>
          </wp:positionH>
          <wp:positionV relativeFrom="margin">
            <wp:posOffset>-1504315</wp:posOffset>
          </wp:positionV>
          <wp:extent cx="1845945" cy="435610"/>
          <wp:effectExtent l="0" t="0" r="1905" b="2540"/>
          <wp:wrapSquare wrapText="bothSides"/>
          <wp:docPr id="1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5945" cy="435610"/>
                  </a:xfrm>
                  <a:prstGeom prst="rect">
                    <a:avLst/>
                  </a:prstGeom>
                </pic:spPr>
              </pic:pic>
            </a:graphicData>
          </a:graphic>
          <wp14:sizeRelH relativeFrom="margin">
            <wp14:pctWidth>0</wp14:pctWidth>
          </wp14:sizeRelH>
          <wp14:sizeRelV relativeFrom="margin">
            <wp14:pctHeight>0</wp14:pctHeight>
          </wp14:sizeRelV>
        </wp:anchor>
      </w:drawing>
    </w:r>
  </w:p>
  <w:p w:rsidR="000624AC" w:rsidRDefault="000624AC">
    <w:pPr>
      <w:pStyle w:val="Kopfzeile"/>
      <w:rPr>
        <w:sz w:val="14"/>
        <w:szCs w:val="14"/>
      </w:rPr>
    </w:pPr>
  </w:p>
  <w:p w:rsidR="000624AC" w:rsidRDefault="000624AC">
    <w:pPr>
      <w:pStyle w:val="Kopfzeile"/>
      <w:rPr>
        <w:sz w:val="14"/>
        <w:szCs w:val="14"/>
      </w:rPr>
    </w:pPr>
  </w:p>
  <w:p w:rsidR="000624AC" w:rsidRDefault="000624AC">
    <w:pPr>
      <w:pStyle w:val="Kopfzeile"/>
      <w:rPr>
        <w:sz w:val="14"/>
        <w:szCs w:val="14"/>
      </w:rPr>
    </w:pPr>
  </w:p>
  <w:p w:rsidR="000624AC" w:rsidRDefault="000624AC">
    <w:pPr>
      <w:pStyle w:val="Kopfzeile"/>
      <w:rPr>
        <w:sz w:val="14"/>
        <w:szCs w:val="14"/>
      </w:rPr>
    </w:pPr>
  </w:p>
  <w:p w:rsidR="000624AC" w:rsidRDefault="000624AC">
    <w:pPr>
      <w:pStyle w:val="Kopfzeile"/>
      <w:rPr>
        <w:sz w:val="14"/>
        <w:szCs w:val="14"/>
      </w:rPr>
    </w:pPr>
  </w:p>
  <w:p w:rsidR="000624AC" w:rsidRDefault="000624AC">
    <w:pPr>
      <w:pStyle w:val="Kopfzeile"/>
      <w:rPr>
        <w:sz w:val="14"/>
        <w:szCs w:val="14"/>
      </w:rPr>
    </w:pPr>
  </w:p>
  <w:p w:rsidR="000624AC" w:rsidRDefault="000624AC" w:rsidP="00566553">
    <w:pPr>
      <w:pStyle w:val="Kopfzeile"/>
      <w:tabs>
        <w:tab w:val="left" w:pos="6237"/>
      </w:tabs>
      <w:rPr>
        <w:sz w:val="14"/>
        <w:szCs w:val="14"/>
      </w:rPr>
    </w:pPr>
  </w:p>
  <w:p w:rsidR="000624AC" w:rsidRDefault="000624AC">
    <w:pPr>
      <w:pStyle w:val="Kopfzeile"/>
      <w:rPr>
        <w:sz w:val="14"/>
        <w:szCs w:val="14"/>
      </w:rPr>
    </w:pPr>
  </w:p>
  <w:p w:rsidR="000624AC" w:rsidRDefault="000624AC">
    <w:pPr>
      <w:pStyle w:val="Kopfzeile"/>
      <w:rPr>
        <w:sz w:val="14"/>
        <w:szCs w:val="14"/>
      </w:rPr>
    </w:pPr>
  </w:p>
  <w:p w:rsidR="000624AC" w:rsidRDefault="000624AC">
    <w:pPr>
      <w:pStyle w:val="Kopfzeile"/>
      <w:rPr>
        <w:sz w:val="14"/>
        <w:szCs w:val="14"/>
      </w:rPr>
    </w:pPr>
  </w:p>
  <w:p w:rsidR="000624AC" w:rsidRDefault="000624AC">
    <w:pPr>
      <w:pStyle w:val="Kopfzeile"/>
      <w:rPr>
        <w:sz w:val="14"/>
        <w:szCs w:val="14"/>
      </w:rPr>
    </w:pPr>
  </w:p>
  <w:p w:rsidR="000624AC" w:rsidRDefault="000624AC">
    <w:pPr>
      <w:pStyle w:val="Kopfzeile"/>
      <w:rPr>
        <w:sz w:val="14"/>
        <w:szCs w:val="14"/>
      </w:rPr>
    </w:pPr>
  </w:p>
  <w:p w:rsidR="000624AC" w:rsidRDefault="000624AC">
    <w:pPr>
      <w:pStyle w:val="Kopfzeile"/>
      <w:rPr>
        <w:sz w:val="14"/>
        <w:szCs w:val="14"/>
      </w:rPr>
    </w:pPr>
  </w:p>
  <w:p w:rsidR="000624AC" w:rsidRDefault="000624AC">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952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3181"/>
    <w:rsid w:val="00013520"/>
    <w:rsid w:val="00015D71"/>
    <w:rsid w:val="000165CC"/>
    <w:rsid w:val="00024466"/>
    <w:rsid w:val="000259B4"/>
    <w:rsid w:val="000365B6"/>
    <w:rsid w:val="00041474"/>
    <w:rsid w:val="00056F5E"/>
    <w:rsid w:val="000624AC"/>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D8F"/>
    <w:rsid w:val="000B2963"/>
    <w:rsid w:val="000B59A1"/>
    <w:rsid w:val="000B5C77"/>
    <w:rsid w:val="000C0274"/>
    <w:rsid w:val="000C2259"/>
    <w:rsid w:val="000C5792"/>
    <w:rsid w:val="000D0A15"/>
    <w:rsid w:val="000D435D"/>
    <w:rsid w:val="000D518C"/>
    <w:rsid w:val="000E0EE7"/>
    <w:rsid w:val="000E2685"/>
    <w:rsid w:val="000E6049"/>
    <w:rsid w:val="000F0039"/>
    <w:rsid w:val="000F683A"/>
    <w:rsid w:val="000F6B8C"/>
    <w:rsid w:val="001011E9"/>
    <w:rsid w:val="00101BBE"/>
    <w:rsid w:val="00105A36"/>
    <w:rsid w:val="001150FF"/>
    <w:rsid w:val="00121206"/>
    <w:rsid w:val="00121B89"/>
    <w:rsid w:val="00121C27"/>
    <w:rsid w:val="001232A5"/>
    <w:rsid w:val="001278C6"/>
    <w:rsid w:val="00134ADF"/>
    <w:rsid w:val="00140842"/>
    <w:rsid w:val="00145834"/>
    <w:rsid w:val="00151336"/>
    <w:rsid w:val="00152DC3"/>
    <w:rsid w:val="00156407"/>
    <w:rsid w:val="00156744"/>
    <w:rsid w:val="0015708A"/>
    <w:rsid w:val="0016025B"/>
    <w:rsid w:val="001608CE"/>
    <w:rsid w:val="00163364"/>
    <w:rsid w:val="001660F7"/>
    <w:rsid w:val="001746AE"/>
    <w:rsid w:val="00176035"/>
    <w:rsid w:val="00177894"/>
    <w:rsid w:val="00183337"/>
    <w:rsid w:val="0018701F"/>
    <w:rsid w:val="001905C7"/>
    <w:rsid w:val="001935D6"/>
    <w:rsid w:val="00194846"/>
    <w:rsid w:val="001A111A"/>
    <w:rsid w:val="001A1DDE"/>
    <w:rsid w:val="001C47CF"/>
    <w:rsid w:val="001C4E6D"/>
    <w:rsid w:val="001D4626"/>
    <w:rsid w:val="001E75B5"/>
    <w:rsid w:val="001F158F"/>
    <w:rsid w:val="001F1628"/>
    <w:rsid w:val="001F2299"/>
    <w:rsid w:val="001F26CD"/>
    <w:rsid w:val="001F276F"/>
    <w:rsid w:val="001F3A92"/>
    <w:rsid w:val="0020059D"/>
    <w:rsid w:val="00205A54"/>
    <w:rsid w:val="00207933"/>
    <w:rsid w:val="0021115B"/>
    <w:rsid w:val="00213698"/>
    <w:rsid w:val="002173C4"/>
    <w:rsid w:val="0021787F"/>
    <w:rsid w:val="002243E7"/>
    <w:rsid w:val="00230854"/>
    <w:rsid w:val="00240C1C"/>
    <w:rsid w:val="00247DA3"/>
    <w:rsid w:val="00253ECB"/>
    <w:rsid w:val="00262D9F"/>
    <w:rsid w:val="00266472"/>
    <w:rsid w:val="00267DF3"/>
    <w:rsid w:val="002735A6"/>
    <w:rsid w:val="00274AC8"/>
    <w:rsid w:val="0027733B"/>
    <w:rsid w:val="002935BC"/>
    <w:rsid w:val="002A0AF8"/>
    <w:rsid w:val="002A49E8"/>
    <w:rsid w:val="002A649D"/>
    <w:rsid w:val="002C6F6E"/>
    <w:rsid w:val="002D4FCC"/>
    <w:rsid w:val="002D6BA5"/>
    <w:rsid w:val="002D7ED6"/>
    <w:rsid w:val="002E36AB"/>
    <w:rsid w:val="002E41A7"/>
    <w:rsid w:val="002F3679"/>
    <w:rsid w:val="002F4FDE"/>
    <w:rsid w:val="002F7BFA"/>
    <w:rsid w:val="003129F8"/>
    <w:rsid w:val="00317FA1"/>
    <w:rsid w:val="00321A34"/>
    <w:rsid w:val="003232F6"/>
    <w:rsid w:val="00323713"/>
    <w:rsid w:val="00325020"/>
    <w:rsid w:val="00325BA5"/>
    <w:rsid w:val="00326DE9"/>
    <w:rsid w:val="003348DA"/>
    <w:rsid w:val="00336917"/>
    <w:rsid w:val="00346A55"/>
    <w:rsid w:val="00347781"/>
    <w:rsid w:val="0035175A"/>
    <w:rsid w:val="00352B95"/>
    <w:rsid w:val="003536D4"/>
    <w:rsid w:val="00356021"/>
    <w:rsid w:val="00362629"/>
    <w:rsid w:val="00363ADF"/>
    <w:rsid w:val="00371E9F"/>
    <w:rsid w:val="0037494A"/>
    <w:rsid w:val="00381EFD"/>
    <w:rsid w:val="00387BDB"/>
    <w:rsid w:val="003940E7"/>
    <w:rsid w:val="003B277D"/>
    <w:rsid w:val="003B51A5"/>
    <w:rsid w:val="003B6D8E"/>
    <w:rsid w:val="003B7C0E"/>
    <w:rsid w:val="003C1A1D"/>
    <w:rsid w:val="003C2B95"/>
    <w:rsid w:val="003C5309"/>
    <w:rsid w:val="003C53D6"/>
    <w:rsid w:val="003C7D6F"/>
    <w:rsid w:val="003D148F"/>
    <w:rsid w:val="003E04D7"/>
    <w:rsid w:val="003E431B"/>
    <w:rsid w:val="003F2456"/>
    <w:rsid w:val="003F55C5"/>
    <w:rsid w:val="00400E4D"/>
    <w:rsid w:val="0041481E"/>
    <w:rsid w:val="00414927"/>
    <w:rsid w:val="00422823"/>
    <w:rsid w:val="00423AC4"/>
    <w:rsid w:val="004331C2"/>
    <w:rsid w:val="00433DD3"/>
    <w:rsid w:val="004618C0"/>
    <w:rsid w:val="004627FF"/>
    <w:rsid w:val="004677F2"/>
    <w:rsid w:val="00471C40"/>
    <w:rsid w:val="0047523A"/>
    <w:rsid w:val="00476D75"/>
    <w:rsid w:val="00480DF1"/>
    <w:rsid w:val="00482058"/>
    <w:rsid w:val="00487260"/>
    <w:rsid w:val="004906C7"/>
    <w:rsid w:val="004956A1"/>
    <w:rsid w:val="004A23CA"/>
    <w:rsid w:val="004C22F6"/>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66553"/>
    <w:rsid w:val="00577A4B"/>
    <w:rsid w:val="00580959"/>
    <w:rsid w:val="00580EB6"/>
    <w:rsid w:val="005827E5"/>
    <w:rsid w:val="005857DA"/>
    <w:rsid w:val="005877E5"/>
    <w:rsid w:val="0059012D"/>
    <w:rsid w:val="005913A5"/>
    <w:rsid w:val="005A71B6"/>
    <w:rsid w:val="005B11E3"/>
    <w:rsid w:val="005B4C73"/>
    <w:rsid w:val="005B799A"/>
    <w:rsid w:val="005E6C16"/>
    <w:rsid w:val="005F14A5"/>
    <w:rsid w:val="005F353A"/>
    <w:rsid w:val="005F48A1"/>
    <w:rsid w:val="00613BF2"/>
    <w:rsid w:val="00614866"/>
    <w:rsid w:val="00616C07"/>
    <w:rsid w:val="00631971"/>
    <w:rsid w:val="00633635"/>
    <w:rsid w:val="006340F8"/>
    <w:rsid w:val="00635843"/>
    <w:rsid w:val="00647CC8"/>
    <w:rsid w:val="00652B61"/>
    <w:rsid w:val="00652F66"/>
    <w:rsid w:val="00660C37"/>
    <w:rsid w:val="00672CCE"/>
    <w:rsid w:val="0067672F"/>
    <w:rsid w:val="00681B49"/>
    <w:rsid w:val="00683011"/>
    <w:rsid w:val="00684F5C"/>
    <w:rsid w:val="006854E5"/>
    <w:rsid w:val="00690B50"/>
    <w:rsid w:val="00693BE1"/>
    <w:rsid w:val="006953FE"/>
    <w:rsid w:val="006958C6"/>
    <w:rsid w:val="00696205"/>
    <w:rsid w:val="006A48D1"/>
    <w:rsid w:val="006B3825"/>
    <w:rsid w:val="006B51F8"/>
    <w:rsid w:val="006B5684"/>
    <w:rsid w:val="006C013C"/>
    <w:rsid w:val="006C39FC"/>
    <w:rsid w:val="006C3BB4"/>
    <w:rsid w:val="006C5029"/>
    <w:rsid w:val="006F2A24"/>
    <w:rsid w:val="00701A49"/>
    <w:rsid w:val="007119FD"/>
    <w:rsid w:val="0072115C"/>
    <w:rsid w:val="00730268"/>
    <w:rsid w:val="00731773"/>
    <w:rsid w:val="00731A1B"/>
    <w:rsid w:val="00731A3A"/>
    <w:rsid w:val="00752D36"/>
    <w:rsid w:val="007537F8"/>
    <w:rsid w:val="00761BD8"/>
    <w:rsid w:val="00763374"/>
    <w:rsid w:val="00774270"/>
    <w:rsid w:val="0077573B"/>
    <w:rsid w:val="007840F7"/>
    <w:rsid w:val="00793AC2"/>
    <w:rsid w:val="00793B1E"/>
    <w:rsid w:val="00793D99"/>
    <w:rsid w:val="007943BD"/>
    <w:rsid w:val="00795C81"/>
    <w:rsid w:val="007A300D"/>
    <w:rsid w:val="007A4E66"/>
    <w:rsid w:val="007B57D1"/>
    <w:rsid w:val="007D0C68"/>
    <w:rsid w:val="007E0B61"/>
    <w:rsid w:val="007E1819"/>
    <w:rsid w:val="007E3593"/>
    <w:rsid w:val="007F4F97"/>
    <w:rsid w:val="00802D9D"/>
    <w:rsid w:val="00806B27"/>
    <w:rsid w:val="00810217"/>
    <w:rsid w:val="00813A64"/>
    <w:rsid w:val="00815FC2"/>
    <w:rsid w:val="00820308"/>
    <w:rsid w:val="00820774"/>
    <w:rsid w:val="008213C1"/>
    <w:rsid w:val="008215A6"/>
    <w:rsid w:val="00827E8D"/>
    <w:rsid w:val="00834567"/>
    <w:rsid w:val="0083636E"/>
    <w:rsid w:val="00841CCF"/>
    <w:rsid w:val="00844839"/>
    <w:rsid w:val="00845CD6"/>
    <w:rsid w:val="00855AD0"/>
    <w:rsid w:val="00862A5B"/>
    <w:rsid w:val="00862D3E"/>
    <w:rsid w:val="00867528"/>
    <w:rsid w:val="0086794F"/>
    <w:rsid w:val="00871000"/>
    <w:rsid w:val="0087310E"/>
    <w:rsid w:val="0087717B"/>
    <w:rsid w:val="00877E9A"/>
    <w:rsid w:val="00881CE0"/>
    <w:rsid w:val="008822E0"/>
    <w:rsid w:val="0088622C"/>
    <w:rsid w:val="008914E5"/>
    <w:rsid w:val="00892A79"/>
    <w:rsid w:val="00893A3B"/>
    <w:rsid w:val="00894094"/>
    <w:rsid w:val="008959F6"/>
    <w:rsid w:val="008A1EFE"/>
    <w:rsid w:val="008B1D6D"/>
    <w:rsid w:val="008B4C8C"/>
    <w:rsid w:val="008B52FE"/>
    <w:rsid w:val="008B6E88"/>
    <w:rsid w:val="008B7140"/>
    <w:rsid w:val="008C02EB"/>
    <w:rsid w:val="008C1CF9"/>
    <w:rsid w:val="008C232B"/>
    <w:rsid w:val="008C6C1F"/>
    <w:rsid w:val="008C7206"/>
    <w:rsid w:val="008E0230"/>
    <w:rsid w:val="008F1230"/>
    <w:rsid w:val="008F3465"/>
    <w:rsid w:val="008F3B8E"/>
    <w:rsid w:val="008F3DAB"/>
    <w:rsid w:val="008F61C3"/>
    <w:rsid w:val="008F7B77"/>
    <w:rsid w:val="00900F32"/>
    <w:rsid w:val="0090257A"/>
    <w:rsid w:val="00903160"/>
    <w:rsid w:val="009075FE"/>
    <w:rsid w:val="009143EE"/>
    <w:rsid w:val="0091485A"/>
    <w:rsid w:val="00924D4A"/>
    <w:rsid w:val="009250FA"/>
    <w:rsid w:val="009365B2"/>
    <w:rsid w:val="0093787D"/>
    <w:rsid w:val="00941023"/>
    <w:rsid w:val="00941F2F"/>
    <w:rsid w:val="00942802"/>
    <w:rsid w:val="00943BA6"/>
    <w:rsid w:val="00944AE9"/>
    <w:rsid w:val="00950294"/>
    <w:rsid w:val="00953BA6"/>
    <w:rsid w:val="00956BEA"/>
    <w:rsid w:val="0096354A"/>
    <w:rsid w:val="009752ED"/>
    <w:rsid w:val="009838F4"/>
    <w:rsid w:val="00984ACD"/>
    <w:rsid w:val="0098574F"/>
    <w:rsid w:val="0098785C"/>
    <w:rsid w:val="00990AC3"/>
    <w:rsid w:val="00990DCC"/>
    <w:rsid w:val="00991A4F"/>
    <w:rsid w:val="009934DC"/>
    <w:rsid w:val="00995D8C"/>
    <w:rsid w:val="009A498B"/>
    <w:rsid w:val="009A49C3"/>
    <w:rsid w:val="009A5D63"/>
    <w:rsid w:val="009B2613"/>
    <w:rsid w:val="009B585F"/>
    <w:rsid w:val="009C1C7E"/>
    <w:rsid w:val="009C4FD7"/>
    <w:rsid w:val="009C7C65"/>
    <w:rsid w:val="009D44E3"/>
    <w:rsid w:val="009D6E78"/>
    <w:rsid w:val="009E2AC0"/>
    <w:rsid w:val="009E3FCD"/>
    <w:rsid w:val="009E5B0F"/>
    <w:rsid w:val="009F1667"/>
    <w:rsid w:val="009F4296"/>
    <w:rsid w:val="00A013C7"/>
    <w:rsid w:val="00A03600"/>
    <w:rsid w:val="00A04833"/>
    <w:rsid w:val="00A04F9F"/>
    <w:rsid w:val="00A062F2"/>
    <w:rsid w:val="00A07811"/>
    <w:rsid w:val="00A1230F"/>
    <w:rsid w:val="00A41D17"/>
    <w:rsid w:val="00A52AA1"/>
    <w:rsid w:val="00A571F8"/>
    <w:rsid w:val="00A67CD6"/>
    <w:rsid w:val="00A7706A"/>
    <w:rsid w:val="00A84FD5"/>
    <w:rsid w:val="00A857FF"/>
    <w:rsid w:val="00A95802"/>
    <w:rsid w:val="00AA4411"/>
    <w:rsid w:val="00AA6C5C"/>
    <w:rsid w:val="00AC0D11"/>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20A0F"/>
    <w:rsid w:val="00B20B57"/>
    <w:rsid w:val="00B22064"/>
    <w:rsid w:val="00B234F4"/>
    <w:rsid w:val="00B2749F"/>
    <w:rsid w:val="00B30D8F"/>
    <w:rsid w:val="00B34B07"/>
    <w:rsid w:val="00B379D4"/>
    <w:rsid w:val="00B45593"/>
    <w:rsid w:val="00B46B7C"/>
    <w:rsid w:val="00B47F37"/>
    <w:rsid w:val="00B5422D"/>
    <w:rsid w:val="00B54622"/>
    <w:rsid w:val="00B6010A"/>
    <w:rsid w:val="00B6041E"/>
    <w:rsid w:val="00B676D0"/>
    <w:rsid w:val="00B77EEC"/>
    <w:rsid w:val="00B90B8D"/>
    <w:rsid w:val="00B9189F"/>
    <w:rsid w:val="00B93353"/>
    <w:rsid w:val="00B95FD8"/>
    <w:rsid w:val="00BA2D3F"/>
    <w:rsid w:val="00BA36BB"/>
    <w:rsid w:val="00BA42E4"/>
    <w:rsid w:val="00BA498E"/>
    <w:rsid w:val="00BA61BC"/>
    <w:rsid w:val="00BA69E7"/>
    <w:rsid w:val="00BB5534"/>
    <w:rsid w:val="00BB64B1"/>
    <w:rsid w:val="00BB73C1"/>
    <w:rsid w:val="00BC077E"/>
    <w:rsid w:val="00BC482D"/>
    <w:rsid w:val="00BC6E17"/>
    <w:rsid w:val="00BD4EE5"/>
    <w:rsid w:val="00BD6084"/>
    <w:rsid w:val="00BD73CF"/>
    <w:rsid w:val="00BD7467"/>
    <w:rsid w:val="00BE14C9"/>
    <w:rsid w:val="00BF0FAB"/>
    <w:rsid w:val="00BF14B0"/>
    <w:rsid w:val="00BF1C55"/>
    <w:rsid w:val="00BF270C"/>
    <w:rsid w:val="00BF4CDA"/>
    <w:rsid w:val="00BF54B4"/>
    <w:rsid w:val="00BF7A93"/>
    <w:rsid w:val="00C01381"/>
    <w:rsid w:val="00C03CC6"/>
    <w:rsid w:val="00C06C63"/>
    <w:rsid w:val="00C06E50"/>
    <w:rsid w:val="00C078A7"/>
    <w:rsid w:val="00C11482"/>
    <w:rsid w:val="00C1231C"/>
    <w:rsid w:val="00C15ED4"/>
    <w:rsid w:val="00C2185B"/>
    <w:rsid w:val="00C2411D"/>
    <w:rsid w:val="00C3213D"/>
    <w:rsid w:val="00C34D6B"/>
    <w:rsid w:val="00C52747"/>
    <w:rsid w:val="00C6308C"/>
    <w:rsid w:val="00C6327D"/>
    <w:rsid w:val="00C658BB"/>
    <w:rsid w:val="00C72824"/>
    <w:rsid w:val="00C77B39"/>
    <w:rsid w:val="00C8116E"/>
    <w:rsid w:val="00C827B0"/>
    <w:rsid w:val="00C828A4"/>
    <w:rsid w:val="00C9248B"/>
    <w:rsid w:val="00C9257F"/>
    <w:rsid w:val="00C94F40"/>
    <w:rsid w:val="00C95F69"/>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652C"/>
    <w:rsid w:val="00CF125C"/>
    <w:rsid w:val="00CF43F6"/>
    <w:rsid w:val="00D0002A"/>
    <w:rsid w:val="00D03189"/>
    <w:rsid w:val="00D03F1C"/>
    <w:rsid w:val="00D04EA2"/>
    <w:rsid w:val="00D061C0"/>
    <w:rsid w:val="00D1389D"/>
    <w:rsid w:val="00D15DED"/>
    <w:rsid w:val="00D16EDC"/>
    <w:rsid w:val="00D207FA"/>
    <w:rsid w:val="00D25042"/>
    <w:rsid w:val="00D2548E"/>
    <w:rsid w:val="00D30183"/>
    <w:rsid w:val="00D336FF"/>
    <w:rsid w:val="00D3573C"/>
    <w:rsid w:val="00D41ACA"/>
    <w:rsid w:val="00D44D33"/>
    <w:rsid w:val="00D54C51"/>
    <w:rsid w:val="00D555FE"/>
    <w:rsid w:val="00D6262F"/>
    <w:rsid w:val="00D63446"/>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D25"/>
    <w:rsid w:val="00DA39BD"/>
    <w:rsid w:val="00DA5718"/>
    <w:rsid w:val="00DB18DF"/>
    <w:rsid w:val="00DB4BE0"/>
    <w:rsid w:val="00DB63F7"/>
    <w:rsid w:val="00DC1346"/>
    <w:rsid w:val="00DC2EF5"/>
    <w:rsid w:val="00DC33A2"/>
    <w:rsid w:val="00DC7177"/>
    <w:rsid w:val="00DD1557"/>
    <w:rsid w:val="00DD3339"/>
    <w:rsid w:val="00DD5297"/>
    <w:rsid w:val="00DE1353"/>
    <w:rsid w:val="00DE3617"/>
    <w:rsid w:val="00DF4720"/>
    <w:rsid w:val="00DF7509"/>
    <w:rsid w:val="00E03D80"/>
    <w:rsid w:val="00E10F76"/>
    <w:rsid w:val="00E17602"/>
    <w:rsid w:val="00E20874"/>
    <w:rsid w:val="00E25067"/>
    <w:rsid w:val="00E256A1"/>
    <w:rsid w:val="00E31AD1"/>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5421"/>
    <w:rsid w:val="00E71F87"/>
    <w:rsid w:val="00E77E58"/>
    <w:rsid w:val="00E914AB"/>
    <w:rsid w:val="00E9158F"/>
    <w:rsid w:val="00E93BAD"/>
    <w:rsid w:val="00EA2D07"/>
    <w:rsid w:val="00EB2E3C"/>
    <w:rsid w:val="00EB5F5C"/>
    <w:rsid w:val="00EC0B88"/>
    <w:rsid w:val="00EC1EAC"/>
    <w:rsid w:val="00EC1F2B"/>
    <w:rsid w:val="00EC32C6"/>
    <w:rsid w:val="00EC3D4A"/>
    <w:rsid w:val="00ED1F18"/>
    <w:rsid w:val="00EE416C"/>
    <w:rsid w:val="00EE622B"/>
    <w:rsid w:val="00EF084C"/>
    <w:rsid w:val="00EF6181"/>
    <w:rsid w:val="00F16399"/>
    <w:rsid w:val="00F31D8D"/>
    <w:rsid w:val="00F329DD"/>
    <w:rsid w:val="00F33465"/>
    <w:rsid w:val="00F335FA"/>
    <w:rsid w:val="00F41BC5"/>
    <w:rsid w:val="00F439CE"/>
    <w:rsid w:val="00F43ABD"/>
    <w:rsid w:val="00F52F24"/>
    <w:rsid w:val="00F55C61"/>
    <w:rsid w:val="00F61AA6"/>
    <w:rsid w:val="00F63D65"/>
    <w:rsid w:val="00F673D7"/>
    <w:rsid w:val="00F74CF8"/>
    <w:rsid w:val="00F865BA"/>
    <w:rsid w:val="00F87078"/>
    <w:rsid w:val="00F92F9B"/>
    <w:rsid w:val="00F9548F"/>
    <w:rsid w:val="00FA28E9"/>
    <w:rsid w:val="00FA2DE4"/>
    <w:rsid w:val="00FA4B39"/>
    <w:rsid w:val="00FB15DD"/>
    <w:rsid w:val="00FB528C"/>
    <w:rsid w:val="00FB7808"/>
    <w:rsid w:val="00FB7C64"/>
    <w:rsid w:val="00FC7354"/>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B781-391C-4EEB-8B1F-B4CE0361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641</Words>
  <Characters>4756</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5367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2</cp:revision>
  <cp:lastPrinted>2017-03-02T15:59:00Z</cp:lastPrinted>
  <dcterms:created xsi:type="dcterms:W3CDTF">2017-03-06T10:17:00Z</dcterms:created>
  <dcterms:modified xsi:type="dcterms:W3CDTF">2017-03-06T10:17:00Z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