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7F" w:rsidRPr="00E44B24" w:rsidRDefault="00345B68" w:rsidP="00970BB4">
      <w:pPr>
        <w:pStyle w:val="Kontakt"/>
        <w:ind w:left="7230"/>
        <w:rPr>
          <w:b/>
        </w:rPr>
      </w:pPr>
      <w:proofErr w:type="spellStart"/>
      <w:r>
        <w:rPr>
          <w:b/>
        </w:rPr>
        <w:t>Kontakt</w:t>
      </w:r>
      <w:proofErr w:type="spellEnd"/>
    </w:p>
    <w:p w:rsidR="006B1375" w:rsidRPr="00EB014D" w:rsidRDefault="004067E8" w:rsidP="00EB014D">
      <w:pPr>
        <w:pStyle w:val="Kontakt"/>
        <w:ind w:left="7230"/>
      </w:pPr>
      <w:r w:rsidRPr="006B1375">
        <w:rPr>
          <w:noProof/>
          <w:lang w:val="de-DE" w:eastAsia="zh-CN"/>
        </w:rPr>
        <w:drawing>
          <wp:anchor distT="0" distB="0" distL="114300" distR="114300" simplePos="0" relativeHeight="251658240" behindDoc="1" locked="0" layoutInCell="1" allowOverlap="1" wp14:anchorId="10E12039" wp14:editId="279DE903">
            <wp:simplePos x="0" y="0"/>
            <wp:positionH relativeFrom="column">
              <wp:posOffset>-186055</wp:posOffset>
            </wp:positionH>
            <wp:positionV relativeFrom="paragraph">
              <wp:posOffset>82550</wp:posOffset>
            </wp:positionV>
            <wp:extent cx="2249805" cy="600075"/>
            <wp:effectExtent l="0" t="0" r="0" b="0"/>
            <wp:wrapTight wrapText="bothSides">
              <wp:wrapPolygon edited="0">
                <wp:start x="17741" y="2743"/>
                <wp:lineTo x="914" y="6171"/>
                <wp:lineTo x="183" y="6857"/>
                <wp:lineTo x="183" y="17143"/>
                <wp:lineTo x="17741" y="19886"/>
                <wp:lineTo x="19204" y="19886"/>
                <wp:lineTo x="21399" y="16457"/>
                <wp:lineTo x="21399" y="8229"/>
                <wp:lineTo x="21033" y="6171"/>
                <wp:lineTo x="19204" y="2743"/>
                <wp:lineTo x="17741" y="274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phex_logo.png"/>
                    <pic:cNvPicPr/>
                  </pic:nvPicPr>
                  <pic:blipFill>
                    <a:blip r:embed="rId9">
                      <a:extLst>
                        <a:ext uri="{28A0092B-C50C-407E-A947-70E740481C1C}">
                          <a14:useLocalDpi xmlns:a14="http://schemas.microsoft.com/office/drawing/2010/main" val="0"/>
                        </a:ext>
                      </a:extLst>
                    </a:blip>
                    <a:stretch>
                      <a:fillRect/>
                    </a:stretch>
                  </pic:blipFill>
                  <pic:spPr>
                    <a:xfrm>
                      <a:off x="0" y="0"/>
                      <a:ext cx="2249805" cy="600075"/>
                    </a:xfrm>
                    <a:prstGeom prst="rect">
                      <a:avLst/>
                    </a:prstGeom>
                  </pic:spPr>
                </pic:pic>
              </a:graphicData>
            </a:graphic>
            <wp14:sizeRelH relativeFrom="margin">
              <wp14:pctWidth>0</wp14:pctWidth>
            </wp14:sizeRelH>
            <wp14:sizeRelV relativeFrom="margin">
              <wp14:pctHeight>0</wp14:pctHeight>
            </wp14:sizeRelV>
          </wp:anchor>
        </w:drawing>
      </w:r>
      <w:r w:rsidR="006B1375" w:rsidRPr="00EB014D">
        <w:t>Bettina König</w:t>
      </w:r>
    </w:p>
    <w:p w:rsidR="006B1375" w:rsidRPr="00EB014D" w:rsidRDefault="006B1375" w:rsidP="006B1375">
      <w:pPr>
        <w:pStyle w:val="Kontakt"/>
        <w:ind w:left="7230"/>
      </w:pPr>
      <w:r w:rsidRPr="00EB014D">
        <w:t>Marketing Communications</w:t>
      </w:r>
    </w:p>
    <w:p w:rsidR="006B1375" w:rsidRPr="00E44B24" w:rsidRDefault="006B1375" w:rsidP="006B1375">
      <w:pPr>
        <w:pStyle w:val="Kontakt"/>
        <w:ind w:left="7230"/>
      </w:pPr>
      <w:r w:rsidRPr="00E44B24">
        <w:t>Coperion GmbH</w:t>
      </w:r>
    </w:p>
    <w:p w:rsidR="006B1375" w:rsidRPr="006B1375" w:rsidRDefault="00345B68" w:rsidP="00345B68">
      <w:pPr>
        <w:pStyle w:val="Kontakt"/>
        <w:ind w:left="7230"/>
        <w:rPr>
          <w:lang w:val="de-DE"/>
        </w:rPr>
      </w:pPr>
      <w:r>
        <w:rPr>
          <w:lang w:val="de-DE"/>
        </w:rPr>
        <w:t>Theodorstraß</w:t>
      </w:r>
      <w:r w:rsidR="006B1375" w:rsidRPr="006B1375">
        <w:rPr>
          <w:lang w:val="de-DE"/>
        </w:rPr>
        <w:t>e 10</w:t>
      </w:r>
    </w:p>
    <w:p w:rsidR="006B1375" w:rsidRPr="006B1375" w:rsidRDefault="00345B68" w:rsidP="006B1375">
      <w:pPr>
        <w:pStyle w:val="Kontakt"/>
        <w:ind w:left="7230"/>
        <w:rPr>
          <w:lang w:val="de-DE"/>
        </w:rPr>
      </w:pPr>
      <w:r>
        <w:rPr>
          <w:lang w:val="de-DE"/>
        </w:rPr>
        <w:t>70469 Stuttgart</w:t>
      </w:r>
    </w:p>
    <w:p w:rsidR="006B1375" w:rsidRPr="006B1375" w:rsidRDefault="006B1375" w:rsidP="006B1375">
      <w:pPr>
        <w:pStyle w:val="Kontakt"/>
        <w:ind w:left="7230"/>
        <w:rPr>
          <w:lang w:val="de-DE"/>
        </w:rPr>
      </w:pPr>
    </w:p>
    <w:p w:rsidR="006B1375" w:rsidRPr="00995B7C" w:rsidRDefault="00345B68" w:rsidP="006B1375">
      <w:pPr>
        <w:pStyle w:val="Kontakt"/>
        <w:ind w:left="7230"/>
      </w:pPr>
      <w:r w:rsidRPr="00995B7C">
        <w:t>Tel</w:t>
      </w:r>
      <w:r w:rsidR="006B1375" w:rsidRPr="00995B7C">
        <w:t xml:space="preserve"> +49 (0)711 897 22 15</w:t>
      </w:r>
    </w:p>
    <w:p w:rsidR="006B1375" w:rsidRPr="00995B7C" w:rsidRDefault="006B1375" w:rsidP="006B1375">
      <w:pPr>
        <w:pStyle w:val="Kontakt"/>
        <w:ind w:left="7230"/>
      </w:pPr>
      <w:r w:rsidRPr="00995B7C">
        <w:t>Fax +49 (0)711 897 39 74</w:t>
      </w:r>
    </w:p>
    <w:p w:rsidR="006B1375" w:rsidRPr="00995B7C" w:rsidRDefault="006B1375" w:rsidP="006B1375">
      <w:pPr>
        <w:pStyle w:val="Kontakt"/>
        <w:ind w:left="7230"/>
      </w:pPr>
      <w:r w:rsidRPr="00995B7C">
        <w:t>bettina.koenig@coperion.com</w:t>
      </w:r>
    </w:p>
    <w:p w:rsidR="00B87E7F" w:rsidRPr="00995B7C" w:rsidRDefault="006B1375" w:rsidP="006B1375">
      <w:pPr>
        <w:pStyle w:val="Kontakt"/>
        <w:ind w:left="7230"/>
      </w:pPr>
      <w:r w:rsidRPr="00995B7C">
        <w:t>www.coperion.com</w:t>
      </w:r>
    </w:p>
    <w:p w:rsidR="00357A64" w:rsidRPr="00995B7C" w:rsidRDefault="005114E9" w:rsidP="00345B68">
      <w:pPr>
        <w:snapToGrid w:val="0"/>
        <w:spacing w:after="480" w:line="360" w:lineRule="auto"/>
        <w:ind w:left="-74"/>
        <w:rPr>
          <w:rFonts w:cs="Arial"/>
          <w:szCs w:val="22"/>
        </w:rPr>
      </w:pPr>
      <w:r w:rsidRPr="00995B7C">
        <w:rPr>
          <w:rFonts w:cs="Arial"/>
          <w:szCs w:val="22"/>
        </w:rPr>
        <w:t xml:space="preserve"> </w:t>
      </w:r>
      <w:r w:rsidR="00345B68" w:rsidRPr="00995B7C">
        <w:rPr>
          <w:rFonts w:cs="Arial"/>
          <w:szCs w:val="22"/>
        </w:rPr>
        <w:t>Stand</w:t>
      </w:r>
      <w:r w:rsidR="004067E8" w:rsidRPr="00995B7C">
        <w:rPr>
          <w:rFonts w:cs="Arial"/>
          <w:szCs w:val="22"/>
        </w:rPr>
        <w:t xml:space="preserve"> 2261</w:t>
      </w:r>
    </w:p>
    <w:p w:rsidR="005114E9" w:rsidRDefault="005114E9" w:rsidP="000954FC">
      <w:pPr>
        <w:pStyle w:val="Pressemitteilung"/>
        <w:tabs>
          <w:tab w:val="left" w:pos="7200"/>
        </w:tabs>
        <w:rPr>
          <w:lang w:val="de-DE"/>
        </w:rPr>
      </w:pPr>
      <w:r>
        <w:rPr>
          <w:lang w:val="de-DE"/>
        </w:rPr>
        <w:t>Pressemitteilung</w:t>
      </w:r>
    </w:p>
    <w:p w:rsidR="008609A9" w:rsidRPr="006B1375" w:rsidRDefault="008609A9" w:rsidP="008609A9">
      <w:pPr>
        <w:rPr>
          <w:lang w:val="de-DE"/>
        </w:rPr>
      </w:pPr>
    </w:p>
    <w:p w:rsidR="00B234F0" w:rsidRPr="006B1375" w:rsidRDefault="006B1375" w:rsidP="00B234F0">
      <w:pPr>
        <w:pStyle w:val="berschrift14p"/>
        <w:rPr>
          <w:bCs/>
          <w:color w:val="FF0000"/>
          <w:sz w:val="22"/>
          <w:szCs w:val="22"/>
          <w:lang w:val="de-DE"/>
        </w:rPr>
      </w:pPr>
      <w:r w:rsidRPr="006B1375">
        <w:rPr>
          <w:bCs/>
          <w:sz w:val="22"/>
          <w:szCs w:val="22"/>
          <w:lang w:val="de-DE"/>
        </w:rPr>
        <w:t>Coperion K-</w:t>
      </w:r>
      <w:proofErr w:type="spellStart"/>
      <w:r w:rsidRPr="006B1375">
        <w:rPr>
          <w:bCs/>
          <w:sz w:val="22"/>
          <w:szCs w:val="22"/>
          <w:lang w:val="de-DE"/>
        </w:rPr>
        <w:t>Tron</w:t>
      </w:r>
      <w:proofErr w:type="spellEnd"/>
      <w:r w:rsidRPr="006B1375">
        <w:rPr>
          <w:bCs/>
          <w:sz w:val="22"/>
          <w:szCs w:val="22"/>
          <w:lang w:val="de-DE"/>
        </w:rPr>
        <w:t xml:space="preserve"> präsentiert hochpräzise Dosierlösung</w:t>
      </w:r>
      <w:r w:rsidR="00B234F0" w:rsidRPr="006B1375">
        <w:rPr>
          <w:bCs/>
          <w:color w:val="FF0000"/>
          <w:sz w:val="22"/>
          <w:szCs w:val="22"/>
          <w:lang w:val="de-DE"/>
        </w:rPr>
        <w:t xml:space="preserve"> </w:t>
      </w:r>
    </w:p>
    <w:p w:rsidR="00EA1055" w:rsidRPr="006B1375" w:rsidRDefault="00EA1055" w:rsidP="00EA1055">
      <w:pPr>
        <w:rPr>
          <w:lang w:val="de-DE"/>
        </w:rPr>
      </w:pPr>
    </w:p>
    <w:p w:rsidR="006B1375" w:rsidRPr="006B1375" w:rsidRDefault="006B1375" w:rsidP="006B1375">
      <w:pPr>
        <w:pStyle w:val="berschrift14p"/>
        <w:rPr>
          <w:bCs/>
          <w:szCs w:val="28"/>
          <w:lang w:val="de-DE"/>
        </w:rPr>
      </w:pPr>
      <w:r w:rsidRPr="006B1375">
        <w:rPr>
          <w:lang w:val="de-DE"/>
        </w:rPr>
        <w:t>Neue Pharma-</w:t>
      </w:r>
      <w:proofErr w:type="spellStart"/>
      <w:r w:rsidRPr="006B1375">
        <w:rPr>
          <w:lang w:val="de-DE"/>
        </w:rPr>
        <w:t>Dosierer</w:t>
      </w:r>
      <w:proofErr w:type="spellEnd"/>
      <w:r w:rsidRPr="006B1375">
        <w:rPr>
          <w:lang w:val="de-DE"/>
        </w:rPr>
        <w:t xml:space="preserve"> im kompakten und modularen Design auf der </w:t>
      </w:r>
      <w:proofErr w:type="spellStart"/>
      <w:r w:rsidRPr="006B1375">
        <w:rPr>
          <w:lang w:val="de-DE"/>
        </w:rPr>
        <w:t>Interphex</w:t>
      </w:r>
      <w:proofErr w:type="spellEnd"/>
      <w:r w:rsidRPr="006B1375">
        <w:rPr>
          <w:lang w:val="de-DE"/>
        </w:rPr>
        <w:t xml:space="preserve"> 2018</w:t>
      </w:r>
    </w:p>
    <w:p w:rsidR="006B1375" w:rsidRPr="006B1375" w:rsidRDefault="00995B7C" w:rsidP="006B1375">
      <w:pPr>
        <w:suppressAutoHyphens/>
        <w:spacing w:before="240" w:line="360" w:lineRule="auto"/>
        <w:rPr>
          <w:rFonts w:cs="Arial"/>
          <w:szCs w:val="22"/>
          <w:lang w:val="de-DE"/>
        </w:rPr>
      </w:pPr>
      <w:r>
        <w:rPr>
          <w:i/>
          <w:szCs w:val="22"/>
          <w:lang w:val="de-DE"/>
        </w:rPr>
        <w:t>Sewell, USA (Februar</w:t>
      </w:r>
      <w:bookmarkStart w:id="0" w:name="_GoBack"/>
      <w:bookmarkEnd w:id="0"/>
      <w:r w:rsidR="006B1375" w:rsidRPr="006B1375">
        <w:rPr>
          <w:i/>
          <w:szCs w:val="22"/>
          <w:lang w:val="de-DE"/>
        </w:rPr>
        <w:t xml:space="preserve"> 2018) –</w:t>
      </w:r>
      <w:r w:rsidR="006B1375" w:rsidRPr="006B1375">
        <w:rPr>
          <w:lang w:val="de-DE"/>
        </w:rPr>
        <w:t xml:space="preserve"> Auf der diesjährigen </w:t>
      </w:r>
      <w:proofErr w:type="spellStart"/>
      <w:r w:rsidR="006B1375" w:rsidRPr="006B1375">
        <w:rPr>
          <w:lang w:val="de-DE"/>
        </w:rPr>
        <w:t>Interphex</w:t>
      </w:r>
      <w:proofErr w:type="spellEnd"/>
      <w:r w:rsidR="006B1375" w:rsidRPr="006B1375">
        <w:rPr>
          <w:lang w:val="de-DE"/>
        </w:rPr>
        <w:t xml:space="preserve"> (17.-19.04.2018, Jacob </w:t>
      </w:r>
      <w:proofErr w:type="spellStart"/>
      <w:r w:rsidR="006B1375" w:rsidRPr="006B1375">
        <w:rPr>
          <w:lang w:val="de-DE"/>
        </w:rPr>
        <w:t>Javits</w:t>
      </w:r>
      <w:proofErr w:type="spellEnd"/>
      <w:r w:rsidR="006B1375" w:rsidRPr="006B1375">
        <w:rPr>
          <w:lang w:val="de-DE"/>
        </w:rPr>
        <w:t xml:space="preserve"> </w:t>
      </w:r>
      <w:proofErr w:type="spellStart"/>
      <w:r w:rsidR="006B1375" w:rsidRPr="006B1375">
        <w:rPr>
          <w:lang w:val="de-DE"/>
        </w:rPr>
        <w:t>Convention</w:t>
      </w:r>
      <w:proofErr w:type="spellEnd"/>
      <w:r w:rsidR="006B1375" w:rsidRPr="006B1375">
        <w:rPr>
          <w:lang w:val="de-DE"/>
        </w:rPr>
        <w:t xml:space="preserve"> Center in New York City, Stand 2261) stellt Coperion K-</w:t>
      </w:r>
      <w:proofErr w:type="spellStart"/>
      <w:r w:rsidR="006B1375" w:rsidRPr="006B1375">
        <w:rPr>
          <w:lang w:val="de-DE"/>
        </w:rPr>
        <w:t>Tron</w:t>
      </w:r>
      <w:proofErr w:type="spellEnd"/>
      <w:r w:rsidR="006B1375" w:rsidRPr="006B1375">
        <w:rPr>
          <w:lang w:val="de-DE"/>
        </w:rPr>
        <w:t xml:space="preserve"> die neue Generation ihrer hochgenauen Differentialdosierwaagen für pharmazeutische Anwendungen vor. </w:t>
      </w:r>
      <w:r w:rsidR="006B1375" w:rsidRPr="006B1375">
        <w:rPr>
          <w:rStyle w:val="Hyperlink"/>
          <w:color w:val="auto"/>
          <w:u w:val="none"/>
          <w:lang w:val="de-DE"/>
        </w:rPr>
        <w:t xml:space="preserve">Die neue </w:t>
      </w:r>
      <w:proofErr w:type="spellStart"/>
      <w:r w:rsidR="006B1375" w:rsidRPr="006B1375">
        <w:rPr>
          <w:rStyle w:val="Hyperlink"/>
          <w:color w:val="auto"/>
          <w:u w:val="none"/>
          <w:lang w:val="de-DE"/>
        </w:rPr>
        <w:t>Dosiererlinie</w:t>
      </w:r>
      <w:proofErr w:type="spellEnd"/>
      <w:r w:rsidR="006B1375" w:rsidRPr="006B1375">
        <w:rPr>
          <w:rStyle w:val="Hyperlink"/>
          <w:color w:val="auto"/>
          <w:u w:val="none"/>
          <w:lang w:val="de-DE"/>
        </w:rPr>
        <w:t xml:space="preserve"> wurde speziell entwickelt,</w:t>
      </w:r>
      <w:r w:rsidR="006B1375" w:rsidRPr="006B1375">
        <w:rPr>
          <w:lang w:val="de-DE"/>
        </w:rPr>
        <w:t xml:space="preserve"> um den steigenden Anforderungen der kontinuierlichen Prozesse in der Pharma-Industrie gerecht zu werden. Darüber hinaus eignet sie sich aufgrund der schnellen Wechsel- und </w:t>
      </w:r>
      <w:proofErr w:type="spellStart"/>
      <w:r w:rsidR="006B1375" w:rsidRPr="006B1375">
        <w:rPr>
          <w:lang w:val="de-DE"/>
        </w:rPr>
        <w:t>Reinigbarkeit</w:t>
      </w:r>
      <w:proofErr w:type="spellEnd"/>
      <w:r w:rsidR="006B1375" w:rsidRPr="006B1375">
        <w:rPr>
          <w:lang w:val="de-DE"/>
        </w:rPr>
        <w:t xml:space="preserve"> hervorragend für Chargenverfahren.</w:t>
      </w:r>
    </w:p>
    <w:p w:rsidR="006B1375" w:rsidRPr="006B1375" w:rsidRDefault="006B1375" w:rsidP="006B1375">
      <w:pPr>
        <w:suppressAutoHyphens/>
        <w:spacing w:before="240" w:line="360" w:lineRule="auto"/>
        <w:rPr>
          <w:rFonts w:cs="Arial"/>
          <w:szCs w:val="22"/>
          <w:lang w:val="de-DE"/>
        </w:rPr>
      </w:pPr>
      <w:r w:rsidRPr="006B1375">
        <w:rPr>
          <w:lang w:val="de-DE"/>
        </w:rPr>
        <w:t>Am Stand von Coperion und C</w:t>
      </w:r>
      <w:r w:rsidRPr="006B1375">
        <w:rPr>
          <w:szCs w:val="22"/>
          <w:lang w:val="de-DE"/>
        </w:rPr>
        <w:t>operion K-</w:t>
      </w:r>
      <w:proofErr w:type="spellStart"/>
      <w:r w:rsidRPr="006B1375">
        <w:rPr>
          <w:szCs w:val="22"/>
          <w:lang w:val="de-DE"/>
        </w:rPr>
        <w:t>Tron</w:t>
      </w:r>
      <w:proofErr w:type="spellEnd"/>
      <w:r w:rsidRPr="006B1375">
        <w:rPr>
          <w:szCs w:val="22"/>
          <w:lang w:val="de-DE"/>
        </w:rPr>
        <w:t xml:space="preserve"> liegt der Schwerpunkt auf Lösungen für kontin</w:t>
      </w:r>
      <w:r w:rsidRPr="006B1375">
        <w:rPr>
          <w:lang w:val="de-DE"/>
        </w:rPr>
        <w:t xml:space="preserve">uierliche und Batch-Prozesse sowie den neuesten Innovationen für eine optimale Dosierung und präzise Nachfüllung. </w:t>
      </w:r>
      <w:r w:rsidRPr="006B1375">
        <w:rPr>
          <w:shd w:val="clear" w:color="auto" w:fill="FFFFFF"/>
          <w:lang w:val="de-DE"/>
        </w:rPr>
        <w:t xml:space="preserve">Vorgestellt werden zudem </w:t>
      </w:r>
      <w:proofErr w:type="spellStart"/>
      <w:r w:rsidRPr="006B1375">
        <w:rPr>
          <w:shd w:val="clear" w:color="auto" w:fill="FFFFFF"/>
          <w:lang w:val="de-DE"/>
        </w:rPr>
        <w:t>Extrusions</w:t>
      </w:r>
      <w:proofErr w:type="spellEnd"/>
      <w:r w:rsidRPr="006B1375">
        <w:rPr>
          <w:shd w:val="clear" w:color="auto" w:fill="FFFFFF"/>
          <w:lang w:val="de-DE"/>
        </w:rPr>
        <w:t xml:space="preserve">-, Dosier- und Förderlösungen für die pharma- und </w:t>
      </w:r>
      <w:proofErr w:type="spellStart"/>
      <w:r w:rsidRPr="006B1375">
        <w:rPr>
          <w:shd w:val="clear" w:color="auto" w:fill="FFFFFF"/>
          <w:lang w:val="de-DE"/>
        </w:rPr>
        <w:t>nutrazeutische</w:t>
      </w:r>
      <w:proofErr w:type="spellEnd"/>
      <w:r w:rsidRPr="006B1375">
        <w:rPr>
          <w:shd w:val="clear" w:color="auto" w:fill="FFFFFF"/>
          <w:lang w:val="de-DE"/>
        </w:rPr>
        <w:t xml:space="preserve"> Industrie. In enger Zusammenarbeit mit </w:t>
      </w:r>
      <w:r w:rsidRPr="006B1375">
        <w:rPr>
          <w:color w:val="111111"/>
          <w:shd w:val="clear" w:color="auto" w:fill="FFFFFF"/>
          <w:lang w:val="de-DE"/>
        </w:rPr>
        <w:t>Pharma-Betrieben jeder Größenordnung entwickeln Coperion und Coperion K-</w:t>
      </w:r>
      <w:proofErr w:type="spellStart"/>
      <w:r w:rsidRPr="006B1375">
        <w:rPr>
          <w:color w:val="111111"/>
          <w:shd w:val="clear" w:color="auto" w:fill="FFFFFF"/>
          <w:lang w:val="de-DE"/>
        </w:rPr>
        <w:t>Tron</w:t>
      </w:r>
      <w:proofErr w:type="spellEnd"/>
      <w:r w:rsidRPr="006B1375">
        <w:rPr>
          <w:color w:val="111111"/>
          <w:shd w:val="clear" w:color="auto" w:fill="FFFFFF"/>
          <w:lang w:val="de-DE"/>
        </w:rPr>
        <w:t xml:space="preserve"> intelligente technische Lösungen wie etwa die neue pharmazeutische </w:t>
      </w:r>
      <w:proofErr w:type="spellStart"/>
      <w:r w:rsidRPr="006B1375">
        <w:rPr>
          <w:color w:val="111111"/>
          <w:shd w:val="clear" w:color="auto" w:fill="FFFFFF"/>
          <w:lang w:val="de-DE"/>
        </w:rPr>
        <w:t>Dosiererlinie</w:t>
      </w:r>
      <w:proofErr w:type="spellEnd"/>
      <w:r w:rsidRPr="006B1375">
        <w:rPr>
          <w:color w:val="111111"/>
          <w:shd w:val="clear" w:color="auto" w:fill="FFFFFF"/>
          <w:lang w:val="de-DE"/>
        </w:rPr>
        <w:t>. Produktqualität und Prozesssicherheit stehen dabei stets im Vordergrund.</w:t>
      </w:r>
      <w:r w:rsidRPr="006B1375">
        <w:rPr>
          <w:lang w:val="de-DE"/>
        </w:rPr>
        <w:t xml:space="preserve"> Unter den Exponaten befinden sich unter anderem die neuen Differentialdosierwaagen K3-PH (QT20 und QT35) sowie der </w:t>
      </w:r>
      <w:proofErr w:type="spellStart"/>
      <w:r w:rsidRPr="006B1375">
        <w:rPr>
          <w:lang w:val="de-DE"/>
        </w:rPr>
        <w:t>Mikrodosierer</w:t>
      </w:r>
      <w:proofErr w:type="spellEnd"/>
      <w:r w:rsidRPr="006B1375">
        <w:rPr>
          <w:lang w:val="de-DE"/>
        </w:rPr>
        <w:t xml:space="preserve"> MT12 mit auswechselbaren Einfach- oder Doppelschneckenmodulen. Darüber hinaus wird ein Vakuum-</w:t>
      </w:r>
      <w:proofErr w:type="spellStart"/>
      <w:r w:rsidRPr="006B1375">
        <w:rPr>
          <w:lang w:val="de-DE"/>
        </w:rPr>
        <w:t>Sequenzierabscheider</w:t>
      </w:r>
      <w:proofErr w:type="spellEnd"/>
      <w:r w:rsidRPr="006B1375">
        <w:rPr>
          <w:lang w:val="de-DE"/>
        </w:rPr>
        <w:t xml:space="preserve"> P10 für Pulver sowie die kleine Austrag- und Dosierschleuse ZZB zu sehen sein, beide in hygienischer Ausführung und speziell für pharmazeutische Anwendungen konzipiert.</w:t>
      </w:r>
    </w:p>
    <w:p w:rsidR="006B1375" w:rsidRPr="006B1375" w:rsidRDefault="006B1375" w:rsidP="006B1375">
      <w:pPr>
        <w:suppressAutoHyphens/>
        <w:spacing w:line="360" w:lineRule="auto"/>
        <w:rPr>
          <w:rFonts w:cs="Arial"/>
          <w:b/>
          <w:sz w:val="24"/>
          <w:lang w:val="de-DE"/>
        </w:rPr>
      </w:pPr>
      <w:r w:rsidRPr="006B1375">
        <w:rPr>
          <w:b/>
          <w:sz w:val="24"/>
          <w:lang w:val="de-DE"/>
        </w:rPr>
        <w:lastRenderedPageBreak/>
        <w:t xml:space="preserve">Neue </w:t>
      </w:r>
      <w:proofErr w:type="spellStart"/>
      <w:r w:rsidRPr="006B1375">
        <w:rPr>
          <w:b/>
          <w:sz w:val="24"/>
          <w:lang w:val="de-DE"/>
        </w:rPr>
        <w:t>Differentialdosiererlinie</w:t>
      </w:r>
      <w:proofErr w:type="spellEnd"/>
      <w:r w:rsidRPr="006B1375">
        <w:rPr>
          <w:b/>
          <w:sz w:val="24"/>
          <w:lang w:val="de-DE"/>
        </w:rPr>
        <w:t xml:space="preserve"> K3-PH von Coperion K-</w:t>
      </w:r>
      <w:proofErr w:type="spellStart"/>
      <w:r w:rsidRPr="006B1375">
        <w:rPr>
          <w:b/>
          <w:sz w:val="24"/>
          <w:lang w:val="de-DE"/>
        </w:rPr>
        <w:t>Tron</w:t>
      </w:r>
      <w:proofErr w:type="spellEnd"/>
      <w:r w:rsidRPr="006B1375">
        <w:rPr>
          <w:b/>
          <w:sz w:val="24"/>
          <w:lang w:val="de-DE"/>
        </w:rPr>
        <w:t xml:space="preserve"> für pharmazeutische Anwendungen</w:t>
      </w:r>
    </w:p>
    <w:p w:rsidR="006B1375" w:rsidRPr="006B1375" w:rsidRDefault="006B1375" w:rsidP="006B1375">
      <w:pPr>
        <w:spacing w:line="360" w:lineRule="auto"/>
        <w:rPr>
          <w:lang w:val="de-DE"/>
        </w:rPr>
      </w:pPr>
      <w:r w:rsidRPr="006B1375">
        <w:rPr>
          <w:lang w:val="de-DE"/>
        </w:rPr>
        <w:t xml:space="preserve">Das neue Design der </w:t>
      </w:r>
      <w:proofErr w:type="spellStart"/>
      <w:r w:rsidRPr="006B1375">
        <w:rPr>
          <w:lang w:val="de-DE"/>
        </w:rPr>
        <w:t>Dosiererbaureihe</w:t>
      </w:r>
      <w:proofErr w:type="spellEnd"/>
      <w:r w:rsidRPr="006B1375">
        <w:rPr>
          <w:lang w:val="de-DE"/>
        </w:rPr>
        <w:t xml:space="preserve"> K3-PH baut auf einem modularen Konzept mit deutlich reduzierter Standfläche auf. Möglich macht dies die neue, verkleinerte D4-Plattformwaage mit der patentierten und hochgenauen Smart Force </w:t>
      </w:r>
      <w:proofErr w:type="spellStart"/>
      <w:r w:rsidRPr="006B1375">
        <w:rPr>
          <w:lang w:val="de-DE"/>
        </w:rPr>
        <w:t>Transducer</w:t>
      </w:r>
      <w:proofErr w:type="spellEnd"/>
      <w:r w:rsidRPr="006B1375">
        <w:rPr>
          <w:lang w:val="de-DE"/>
        </w:rPr>
        <w:t xml:space="preserve"> (SFT)-</w:t>
      </w:r>
      <w:proofErr w:type="spellStart"/>
      <w:r w:rsidRPr="006B1375">
        <w:rPr>
          <w:lang w:val="de-DE"/>
        </w:rPr>
        <w:t>Wägetechnologie</w:t>
      </w:r>
      <w:proofErr w:type="spellEnd"/>
      <w:r w:rsidRPr="006B1375">
        <w:rPr>
          <w:lang w:val="de-DE"/>
        </w:rPr>
        <w:t>. Die neue D4-Plattformwaage verfügt über dieselbe moderne, hygienegerechte Konstruktion wie die bewährte Coperion K-</w:t>
      </w:r>
      <w:proofErr w:type="spellStart"/>
      <w:r w:rsidRPr="006B1375">
        <w:rPr>
          <w:lang w:val="de-DE"/>
        </w:rPr>
        <w:t>Tron</w:t>
      </w:r>
      <w:proofErr w:type="spellEnd"/>
      <w:r w:rsidRPr="006B1375">
        <w:rPr>
          <w:lang w:val="de-DE"/>
        </w:rPr>
        <w:t xml:space="preserve"> D5-Waage. Glatte, spaltfreie Oberflächen verhindern Staub- und Produktablagerungen und ermöglichen eine mühelose Reinigung. Das Herzstück der neuen D4-Waage bildet die patentierte SFT-</w:t>
      </w:r>
      <w:proofErr w:type="spellStart"/>
      <w:r w:rsidRPr="006B1375">
        <w:rPr>
          <w:lang w:val="de-DE"/>
        </w:rPr>
        <w:t>Wägetechnologie</w:t>
      </w:r>
      <w:proofErr w:type="spellEnd"/>
      <w:r w:rsidRPr="006B1375">
        <w:rPr>
          <w:lang w:val="de-DE"/>
        </w:rPr>
        <w:t xml:space="preserve"> von Coperion K-</w:t>
      </w:r>
      <w:proofErr w:type="spellStart"/>
      <w:r w:rsidRPr="006B1375">
        <w:rPr>
          <w:lang w:val="de-DE"/>
        </w:rPr>
        <w:t>Tron</w:t>
      </w:r>
      <w:proofErr w:type="spellEnd"/>
      <w:r w:rsidRPr="006B1375">
        <w:rPr>
          <w:lang w:val="de-DE"/>
        </w:rPr>
        <w:t xml:space="preserve">, welche auf dem Prinzip der schwingenden Saite beruht und ein hochgenaues Gewichtssignal mit einer Auflösung von 1:4.000.000 in 80 </w:t>
      </w:r>
      <w:proofErr w:type="spellStart"/>
      <w:r w:rsidRPr="006B1375">
        <w:rPr>
          <w:lang w:val="de-DE"/>
        </w:rPr>
        <w:t>ms</w:t>
      </w:r>
      <w:proofErr w:type="spellEnd"/>
      <w:r w:rsidRPr="006B1375">
        <w:rPr>
          <w:lang w:val="de-DE"/>
        </w:rPr>
        <w:t xml:space="preserve"> liefert. Die fortschrittliche Elektronik beinhaltet Linearisierung, Temperaturkompensation und einen digitalen Low-Pass-Filter, um den Effekt von Anlagenvibrationen zu dämpfen. Dank des digitalen Designs ist keine Kalibrierung erforderlich.</w:t>
      </w:r>
    </w:p>
    <w:p w:rsidR="006B1375" w:rsidRPr="006B1375" w:rsidRDefault="006B1375" w:rsidP="006B1375">
      <w:pPr>
        <w:spacing w:line="360" w:lineRule="auto"/>
        <w:rPr>
          <w:lang w:val="de-DE"/>
        </w:rPr>
      </w:pPr>
    </w:p>
    <w:p w:rsidR="006B1375" w:rsidRPr="006B1375" w:rsidRDefault="006B1375" w:rsidP="00E44B24">
      <w:pPr>
        <w:spacing w:line="360" w:lineRule="auto"/>
        <w:rPr>
          <w:lang w:val="de-DE"/>
        </w:rPr>
      </w:pPr>
      <w:r w:rsidRPr="006B1375">
        <w:rPr>
          <w:lang w:val="de-DE"/>
        </w:rPr>
        <w:t xml:space="preserve">Dank des modular aufgebauten „Quick Change“-Designs kann der </w:t>
      </w:r>
      <w:proofErr w:type="spellStart"/>
      <w:r w:rsidRPr="006B1375">
        <w:rPr>
          <w:lang w:val="de-DE"/>
        </w:rPr>
        <w:t>Dosierer</w:t>
      </w:r>
      <w:proofErr w:type="spellEnd"/>
      <w:r w:rsidRPr="006B1375">
        <w:rPr>
          <w:lang w:val="de-DE"/>
        </w:rPr>
        <w:t xml:space="preserve"> schnell umgebaut und für neue Prozesse oder Rezepturen </w:t>
      </w:r>
      <w:r w:rsidRPr="00E44B24">
        <w:rPr>
          <w:lang w:val="de-DE"/>
        </w:rPr>
        <w:t xml:space="preserve">angepasst werden. </w:t>
      </w:r>
      <w:r w:rsidR="00E44B24" w:rsidRPr="00E44B24">
        <w:rPr>
          <w:lang w:val="de-DE"/>
        </w:rPr>
        <w:t xml:space="preserve">Dosiereinheit wie auch Dosiertrichter und Rührwerk können modular ausgetauscht und mit derselben Grundeinheit (Waage &amp; Antrieb) eingesetzt werden. </w:t>
      </w:r>
      <w:r w:rsidRPr="006B1375">
        <w:rPr>
          <w:lang w:val="de-DE"/>
        </w:rPr>
        <w:t xml:space="preserve">Neben der erzielten Zeitersparnis ist ein weiterer Vorteil dieses modularen Designs eine einfachere, verbesserte Reinigung und Wartung. Das neue Design eignet sich zudem bestens für die Gruppierung von mehreren </w:t>
      </w:r>
      <w:proofErr w:type="spellStart"/>
      <w:r w:rsidRPr="006B1375">
        <w:rPr>
          <w:lang w:val="de-DE"/>
        </w:rPr>
        <w:t>Dosierern</w:t>
      </w:r>
      <w:proofErr w:type="spellEnd"/>
      <w:r w:rsidRPr="006B1375">
        <w:rPr>
          <w:lang w:val="de-DE"/>
        </w:rPr>
        <w:t xml:space="preserve"> zu einem Cluster. Dies ist sowohl bei vielen kontinuierlichen Prozessen, wie beispielsweise bei der </w:t>
      </w:r>
      <w:proofErr w:type="spellStart"/>
      <w:r w:rsidRPr="006B1375">
        <w:rPr>
          <w:lang w:val="de-DE"/>
        </w:rPr>
        <w:t>Direktverpressung</w:t>
      </w:r>
      <w:proofErr w:type="spellEnd"/>
      <w:r w:rsidRPr="006B1375">
        <w:rPr>
          <w:lang w:val="de-DE"/>
        </w:rPr>
        <w:t xml:space="preserve"> (CDC), der kontinuierlichen Extrusion, der Nass- und Trockengranulierung, der kontinuierlichen Beschichtung als auch bei traditionellen Chargenprozessen notwendig. Die verschiedenen Innovationen, die in die neue, modulare </w:t>
      </w:r>
      <w:proofErr w:type="spellStart"/>
      <w:r w:rsidRPr="006B1375">
        <w:rPr>
          <w:lang w:val="de-DE"/>
        </w:rPr>
        <w:t>Pharmadosierer</w:t>
      </w:r>
      <w:proofErr w:type="spellEnd"/>
      <w:r w:rsidRPr="006B1375">
        <w:rPr>
          <w:lang w:val="de-DE"/>
        </w:rPr>
        <w:t xml:space="preserve">-Linie eingeflossen sind, basieren auf intensiven Marktstudien mit Endanwendern aus der pharmazeutischen Industrie. Die Einheit mit Dosiertrog, Rührwerk und Schnecken kann schnell vom </w:t>
      </w:r>
      <w:proofErr w:type="spellStart"/>
      <w:r w:rsidRPr="006B1375">
        <w:rPr>
          <w:lang w:val="de-DE"/>
        </w:rPr>
        <w:t>Dosiererantrieb</w:t>
      </w:r>
      <w:proofErr w:type="spellEnd"/>
      <w:r w:rsidRPr="006B1375">
        <w:rPr>
          <w:lang w:val="de-DE"/>
        </w:rPr>
        <w:t xml:space="preserve"> abgekoppelt werden. Dadurch sind einfache und schnelle Produktwechsel, Reinigung und Wartung möglich. Um ein neues Produkt zu fahren, werden zwei Klemmen gelöst, die benutzte Dosiereinheit entfernt und durch eine gereinigte ersetzt. Die drei Coperion K-</w:t>
      </w:r>
      <w:proofErr w:type="spellStart"/>
      <w:r w:rsidRPr="006B1375">
        <w:rPr>
          <w:lang w:val="de-DE"/>
        </w:rPr>
        <w:t>Tron</w:t>
      </w:r>
      <w:proofErr w:type="spellEnd"/>
      <w:r w:rsidRPr="006B1375">
        <w:rPr>
          <w:lang w:val="de-DE"/>
        </w:rPr>
        <w:t xml:space="preserve"> </w:t>
      </w:r>
      <w:proofErr w:type="spellStart"/>
      <w:r w:rsidRPr="006B1375">
        <w:rPr>
          <w:lang w:val="de-DE"/>
        </w:rPr>
        <w:t>Dosierertypen</w:t>
      </w:r>
      <w:proofErr w:type="spellEnd"/>
      <w:r w:rsidRPr="006B1375">
        <w:rPr>
          <w:lang w:val="de-DE"/>
        </w:rPr>
        <w:t xml:space="preserve"> QT20, QT35 und QS60 – jeweils mit Einfach- oder Doppelschnecken – sind auswechselbar und können mit derselben Waagen- und Antriebskombination verwendet </w:t>
      </w:r>
      <w:r w:rsidRPr="006B1375">
        <w:rPr>
          <w:lang w:val="de-DE"/>
        </w:rPr>
        <w:lastRenderedPageBreak/>
        <w:t xml:space="preserve">werden. Die neue, trapezförmige Bauform der Waage ermöglicht im Vergleich zur vormals runden Form die clustermäßige Anordnung einer Gruppe von </w:t>
      </w:r>
      <w:proofErr w:type="spellStart"/>
      <w:r w:rsidRPr="006B1375">
        <w:rPr>
          <w:lang w:val="de-DE"/>
        </w:rPr>
        <w:t>Dosierern</w:t>
      </w:r>
      <w:proofErr w:type="spellEnd"/>
      <w:r w:rsidRPr="006B1375">
        <w:rPr>
          <w:lang w:val="de-DE"/>
        </w:rPr>
        <w:t xml:space="preserve"> auf einer minimalen Standfläche. Wo mehrere Zutaten in einen Prozesseinlauf dosiert werden müssen, kommt diese positive Eigenschaft besonders zum Tragen, da das Platzangebot hier häufig beschränkt ist. Weiter zeichnen sich Dosiertröge und Trichter durch eine neue, verbesserte Dichtungskonstruktion aus, die das Produkt sicher im Prozess hält. </w:t>
      </w:r>
    </w:p>
    <w:p w:rsidR="006B1375" w:rsidRPr="006B1375" w:rsidRDefault="006B1375" w:rsidP="006B1375">
      <w:pPr>
        <w:spacing w:line="360" w:lineRule="auto"/>
        <w:rPr>
          <w:lang w:val="de-DE"/>
        </w:rPr>
      </w:pPr>
    </w:p>
    <w:p w:rsidR="006B1375" w:rsidRPr="006B1375" w:rsidRDefault="006B1375" w:rsidP="006B1375">
      <w:pPr>
        <w:spacing w:line="360" w:lineRule="auto"/>
        <w:rPr>
          <w:lang w:val="de-DE"/>
        </w:rPr>
      </w:pPr>
      <w:r w:rsidRPr="006B1375">
        <w:rPr>
          <w:lang w:val="de-DE"/>
        </w:rPr>
        <w:t xml:space="preserve">Zum neuen modularen Konzept gehört zudem ein neu entwickelter Antrieb mit Servomotor, der ebenfalls zur Reduzierung der Standfläche beiträgt. Dieser umfasst einen merklich größeren Drehzahlbereich und ermöglicht auch sehr niedrige Dosierleistungen. Mehrfache Getriebewechsel, wie sie in der Vergangenheit nötig waren, sind nicht mehr erforderlich. Da in kontinuierlichen Prozessen oft mehrere Zutaten mit unterschiedlicher Dosierleistung zugeführt werden müssen, können die drei angebotenen </w:t>
      </w:r>
      <w:proofErr w:type="spellStart"/>
      <w:r w:rsidRPr="006B1375">
        <w:rPr>
          <w:lang w:val="de-DE"/>
        </w:rPr>
        <w:t>Dosierertypen</w:t>
      </w:r>
      <w:proofErr w:type="spellEnd"/>
      <w:r w:rsidRPr="006B1375">
        <w:rPr>
          <w:lang w:val="de-DE"/>
        </w:rPr>
        <w:t xml:space="preserve"> QT20, QT35 und QS60 in Abhängigkeit vom zu dosierenden Produkt, der gewünschten Dosierleistung und der benötigten </w:t>
      </w:r>
      <w:proofErr w:type="spellStart"/>
      <w:r w:rsidRPr="006B1375">
        <w:rPr>
          <w:lang w:val="de-DE"/>
        </w:rPr>
        <w:t>Wägeauflösung</w:t>
      </w:r>
      <w:proofErr w:type="spellEnd"/>
      <w:r w:rsidRPr="006B1375">
        <w:rPr>
          <w:lang w:val="de-DE"/>
        </w:rPr>
        <w:t xml:space="preserve"> eingesetzt werden. Um ein optimales Resultat bei der WIP-Reinigung (</w:t>
      </w:r>
      <w:proofErr w:type="spellStart"/>
      <w:r w:rsidRPr="006B1375">
        <w:rPr>
          <w:lang w:val="de-DE"/>
        </w:rPr>
        <w:t>Wash</w:t>
      </w:r>
      <w:proofErr w:type="spellEnd"/>
      <w:r w:rsidRPr="006B1375">
        <w:rPr>
          <w:lang w:val="de-DE"/>
        </w:rPr>
        <w:t xml:space="preserve">-in-Place) zu erzielen, ist jede Einheit um zwei Grad geneigt. Dies unterstützt die bestmögliche Drainage während des Reinigungsprozesses. Um die komplexen Anforderungen pharmazeutischer Anwendungen zu erfüllen, ist das neue modulare K3-PH-Konzept für die Gruppierung von sechs oder mehr </w:t>
      </w:r>
      <w:proofErr w:type="spellStart"/>
      <w:r w:rsidRPr="006B1375">
        <w:rPr>
          <w:lang w:val="de-DE"/>
        </w:rPr>
        <w:t>Dosierern</w:t>
      </w:r>
      <w:proofErr w:type="spellEnd"/>
      <w:r w:rsidRPr="006B1375">
        <w:rPr>
          <w:lang w:val="de-DE"/>
        </w:rPr>
        <w:t xml:space="preserve"> ausgelegt. Die komplette neue Linie erfüllt die strengen Anforderungen der pharmazeutischen Industrie, inklusive der </w:t>
      </w:r>
      <w:proofErr w:type="spellStart"/>
      <w:r w:rsidRPr="006B1375">
        <w:rPr>
          <w:lang w:val="de-DE"/>
        </w:rPr>
        <w:t>cGMP</w:t>
      </w:r>
      <w:proofErr w:type="spellEnd"/>
      <w:r w:rsidRPr="006B1375">
        <w:rPr>
          <w:lang w:val="de-DE"/>
        </w:rPr>
        <w:t xml:space="preserve">-Richtlinien und </w:t>
      </w:r>
      <w:r w:rsidRPr="006B1375">
        <w:rPr>
          <w:lang w:val="de-DE"/>
        </w:rPr>
        <w:br/>
        <w:t>-Standards, und setzt ausschließlich FDA-zugelassene Konstruktionsmaterialien ein.</w:t>
      </w:r>
    </w:p>
    <w:p w:rsidR="006B1375" w:rsidRPr="006B1375" w:rsidRDefault="006B1375" w:rsidP="006B1375">
      <w:pPr>
        <w:spacing w:line="360" w:lineRule="auto"/>
        <w:rPr>
          <w:lang w:val="de-DE"/>
        </w:rPr>
      </w:pPr>
    </w:p>
    <w:p w:rsidR="006B1375" w:rsidRPr="006B1375" w:rsidRDefault="006B1375" w:rsidP="006B1375">
      <w:pPr>
        <w:spacing w:line="360" w:lineRule="auto"/>
        <w:rPr>
          <w:lang w:val="de-DE"/>
        </w:rPr>
      </w:pPr>
      <w:r w:rsidRPr="006B1375">
        <w:rPr>
          <w:lang w:val="de-DE"/>
        </w:rPr>
        <w:t>Die neue K3-PH-Linie von gravimetrischen Pharma-</w:t>
      </w:r>
      <w:proofErr w:type="spellStart"/>
      <w:r w:rsidRPr="006B1375">
        <w:rPr>
          <w:lang w:val="de-DE"/>
        </w:rPr>
        <w:t>Dosierern</w:t>
      </w:r>
      <w:proofErr w:type="spellEnd"/>
      <w:r w:rsidRPr="006B1375">
        <w:rPr>
          <w:lang w:val="de-DE"/>
        </w:rPr>
        <w:t xml:space="preserve"> von Coperion K-</w:t>
      </w:r>
      <w:proofErr w:type="spellStart"/>
      <w:r w:rsidRPr="006B1375">
        <w:rPr>
          <w:lang w:val="de-DE"/>
        </w:rPr>
        <w:t>Tron</w:t>
      </w:r>
      <w:proofErr w:type="spellEnd"/>
      <w:r w:rsidRPr="006B1375">
        <w:rPr>
          <w:lang w:val="de-DE"/>
        </w:rPr>
        <w:t xml:space="preserve"> setzt auf bewährte Instrumentierung, Steuer- und Regeltechnik für eine optimierte kontinuierliche Dosierung von schwerfließenden pharmazeutischen Pulvern und APIs. Es steht eine Vielzahl ergänzender, anwendungsabhängiger Optionen zur Auswahl, unter anderem die innovative </w:t>
      </w:r>
      <w:proofErr w:type="spellStart"/>
      <w:r w:rsidRPr="006B1375">
        <w:rPr>
          <w:lang w:val="de-DE"/>
        </w:rPr>
        <w:t>ActiFlow</w:t>
      </w:r>
      <w:proofErr w:type="spellEnd"/>
      <w:r w:rsidRPr="006B1375">
        <w:rPr>
          <w:lang w:val="de-DE"/>
        </w:rPr>
        <w:t xml:space="preserve">™-Fließhilfe für schwerfließende Schüttgüter oder die elektronische Druckkompensation EPC (Electronic </w:t>
      </w:r>
      <w:proofErr w:type="spellStart"/>
      <w:r w:rsidRPr="006B1375">
        <w:rPr>
          <w:lang w:val="de-DE"/>
        </w:rPr>
        <w:t>Pressure</w:t>
      </w:r>
      <w:proofErr w:type="spellEnd"/>
      <w:r w:rsidRPr="006B1375">
        <w:rPr>
          <w:lang w:val="de-DE"/>
        </w:rPr>
        <w:t xml:space="preserve"> </w:t>
      </w:r>
      <w:proofErr w:type="spellStart"/>
      <w:r w:rsidRPr="006B1375">
        <w:rPr>
          <w:lang w:val="de-DE"/>
        </w:rPr>
        <w:t>Compensation</w:t>
      </w:r>
      <w:proofErr w:type="spellEnd"/>
      <w:r w:rsidRPr="006B1375">
        <w:rPr>
          <w:lang w:val="de-DE"/>
        </w:rPr>
        <w:t xml:space="preserve">). EPC ist ein einzigartiges Instrumentierungspaket, welches die Dosierleistung in kontinuierlichen Verfahrensschritten wie Mischen, Extrudieren, Granulieren und Beschichten optimieren kann. Die pharmazeutischen </w:t>
      </w:r>
      <w:proofErr w:type="spellStart"/>
      <w:r w:rsidRPr="006B1375">
        <w:rPr>
          <w:lang w:val="de-DE"/>
        </w:rPr>
        <w:t>Dosierer</w:t>
      </w:r>
      <w:proofErr w:type="spellEnd"/>
      <w:r w:rsidRPr="006B1375">
        <w:rPr>
          <w:lang w:val="de-DE"/>
        </w:rPr>
        <w:t xml:space="preserve"> sind in volumetrischer oder gravimetrischer Ausführung erhältlich, als Einfach- oder Doppelschneckenmodelle.</w:t>
      </w:r>
    </w:p>
    <w:p w:rsidR="006B1375" w:rsidRPr="006B1375" w:rsidRDefault="006B1375" w:rsidP="006B1375">
      <w:pPr>
        <w:spacing w:line="360" w:lineRule="auto"/>
        <w:rPr>
          <w:rStyle w:val="Hyperlink"/>
          <w:color w:val="auto"/>
          <w:u w:val="none"/>
          <w:lang w:val="de-DE"/>
        </w:rPr>
      </w:pPr>
    </w:p>
    <w:p w:rsidR="006B1375" w:rsidRPr="006B1375" w:rsidRDefault="006B1375" w:rsidP="006B1375">
      <w:pPr>
        <w:spacing w:line="360" w:lineRule="auto"/>
        <w:rPr>
          <w:rFonts w:cs="Arial"/>
          <w:b/>
          <w:bCs/>
          <w:color w:val="FF0000"/>
          <w:szCs w:val="22"/>
          <w:lang w:val="de-DE"/>
        </w:rPr>
      </w:pPr>
      <w:proofErr w:type="spellStart"/>
      <w:r w:rsidRPr="006B1375">
        <w:rPr>
          <w:b/>
          <w:bCs/>
          <w:szCs w:val="22"/>
          <w:lang w:val="de-DE"/>
        </w:rPr>
        <w:lastRenderedPageBreak/>
        <w:t>Mikrodosierer</w:t>
      </w:r>
      <w:proofErr w:type="spellEnd"/>
      <w:r w:rsidRPr="006B1375">
        <w:rPr>
          <w:b/>
          <w:bCs/>
          <w:szCs w:val="22"/>
          <w:lang w:val="de-DE"/>
        </w:rPr>
        <w:t xml:space="preserve"> MT12 von Coperion K-</w:t>
      </w:r>
      <w:proofErr w:type="spellStart"/>
      <w:r w:rsidRPr="006B1375">
        <w:rPr>
          <w:b/>
          <w:bCs/>
          <w:szCs w:val="22"/>
          <w:lang w:val="de-DE"/>
        </w:rPr>
        <w:t>Tron</w:t>
      </w:r>
      <w:proofErr w:type="spellEnd"/>
      <w:r w:rsidRPr="006B1375">
        <w:rPr>
          <w:b/>
          <w:bCs/>
          <w:szCs w:val="22"/>
          <w:lang w:val="de-DE"/>
        </w:rPr>
        <w:t xml:space="preserve">: maximale Genauigkeit bei minimaler Dosierleistung </w:t>
      </w:r>
    </w:p>
    <w:p w:rsidR="006B1375" w:rsidRPr="006B1375" w:rsidRDefault="006B1375" w:rsidP="00E44B24">
      <w:pPr>
        <w:spacing w:line="360" w:lineRule="auto"/>
        <w:rPr>
          <w:rFonts w:cs="Arial"/>
          <w:bCs/>
          <w:szCs w:val="22"/>
          <w:lang w:val="de-DE"/>
        </w:rPr>
      </w:pPr>
      <w:r w:rsidRPr="006B1375">
        <w:rPr>
          <w:lang w:val="de-DE"/>
        </w:rPr>
        <w:t xml:space="preserve">Die </w:t>
      </w:r>
      <w:proofErr w:type="spellStart"/>
      <w:r w:rsidRPr="006B1375">
        <w:rPr>
          <w:lang w:val="de-DE"/>
        </w:rPr>
        <w:t>Mikrodosierer</w:t>
      </w:r>
      <w:proofErr w:type="spellEnd"/>
      <w:r w:rsidRPr="006B1375">
        <w:rPr>
          <w:lang w:val="de-DE"/>
        </w:rPr>
        <w:t xml:space="preserve"> von Coperion K-</w:t>
      </w:r>
      <w:proofErr w:type="spellStart"/>
      <w:r w:rsidRPr="006B1375">
        <w:rPr>
          <w:lang w:val="de-DE"/>
        </w:rPr>
        <w:t>Tron</w:t>
      </w:r>
      <w:proofErr w:type="spellEnd"/>
      <w:r w:rsidRPr="006B1375">
        <w:rPr>
          <w:lang w:val="de-DE"/>
        </w:rPr>
        <w:t xml:space="preserve"> sind ideal für eine präzise Dosierung von frei fließendem bis sch</w:t>
      </w:r>
      <w:r w:rsidR="00E44B24">
        <w:rPr>
          <w:lang w:val="de-DE"/>
        </w:rPr>
        <w:t>wierig zu handhabendem Material bei</w:t>
      </w:r>
      <w:r w:rsidRPr="006B1375">
        <w:rPr>
          <w:lang w:val="de-DE"/>
        </w:rPr>
        <w:t xml:space="preserve"> D</w:t>
      </w:r>
      <w:r w:rsidR="00E44B24">
        <w:rPr>
          <w:lang w:val="de-DE"/>
        </w:rPr>
        <w:t>osierleistungen</w:t>
      </w:r>
      <w:r w:rsidRPr="006B1375">
        <w:rPr>
          <w:lang w:val="de-DE"/>
        </w:rPr>
        <w:t xml:space="preserve"> von 32 g/h</w:t>
      </w:r>
      <w:r w:rsidR="00E44B24">
        <w:rPr>
          <w:lang w:val="de-DE"/>
        </w:rPr>
        <w:t xml:space="preserve"> </w:t>
      </w:r>
      <w:r w:rsidRPr="006B1375">
        <w:rPr>
          <w:lang w:val="de-DE"/>
        </w:rPr>
        <w:t xml:space="preserve">bis </w:t>
      </w:r>
      <w:r w:rsidR="00E44B24">
        <w:rPr>
          <w:lang w:val="de-DE"/>
        </w:rPr>
        <w:t xml:space="preserve">  </w:t>
      </w:r>
      <w:r w:rsidRPr="006B1375">
        <w:rPr>
          <w:lang w:val="de-DE"/>
        </w:rPr>
        <w:t xml:space="preserve">2.000 g/h. Der </w:t>
      </w:r>
      <w:proofErr w:type="spellStart"/>
      <w:r w:rsidRPr="006B1375">
        <w:rPr>
          <w:lang w:val="de-DE"/>
        </w:rPr>
        <w:t>Mikrodosierer</w:t>
      </w:r>
      <w:proofErr w:type="spellEnd"/>
      <w:r w:rsidRPr="006B1375">
        <w:rPr>
          <w:lang w:val="de-DE"/>
        </w:rPr>
        <w:t xml:space="preserve"> für  kleine Dosierleistungen ist mit den auswechselbaren Doppelschnecken-Dosiermodulen MT12 mm und MT16 mm oder den Einzelschnecken-Dosiermodulen MS12 mm und MS16 mm erhältlich. Der kompakte </w:t>
      </w:r>
      <w:proofErr w:type="spellStart"/>
      <w:r w:rsidRPr="006B1375">
        <w:rPr>
          <w:lang w:val="de-DE"/>
        </w:rPr>
        <w:t>Dosierer</w:t>
      </w:r>
      <w:proofErr w:type="spellEnd"/>
      <w:r w:rsidRPr="006B1375">
        <w:rPr>
          <w:lang w:val="de-DE"/>
        </w:rPr>
        <w:t xml:space="preserve"> ist einfach zerlegbar und lässt sich schnell und einfach reinigen. Optional ist eine automatische Nachfüllung verfügbar. Typische Anwendungsfälle sind die Dosierung bei Strahlmühlen, Tablettenpressen, kontinuierlichen </w:t>
      </w:r>
      <w:proofErr w:type="spellStart"/>
      <w:r w:rsidRPr="006B1375">
        <w:rPr>
          <w:lang w:val="de-DE"/>
        </w:rPr>
        <w:t>Extrusionsprozessen</w:t>
      </w:r>
      <w:proofErr w:type="spellEnd"/>
      <w:r w:rsidRPr="006B1375">
        <w:rPr>
          <w:lang w:val="de-DE"/>
        </w:rPr>
        <w:t xml:space="preserve"> und Verfahren, bei denen teure Mikrobestandteile eine präzise Dosierung erfordern. Auf der Messe wird ein MT12 </w:t>
      </w:r>
      <w:proofErr w:type="spellStart"/>
      <w:r w:rsidRPr="006B1375">
        <w:rPr>
          <w:lang w:val="de-DE"/>
        </w:rPr>
        <w:t>Mikrodosierer</w:t>
      </w:r>
      <w:proofErr w:type="spellEnd"/>
      <w:r w:rsidRPr="006B1375">
        <w:rPr>
          <w:lang w:val="de-DE"/>
        </w:rPr>
        <w:t xml:space="preserve"> zu sehen sein.</w:t>
      </w:r>
    </w:p>
    <w:p w:rsidR="006B1375" w:rsidRPr="006B1375" w:rsidRDefault="006B1375" w:rsidP="006B1375">
      <w:pPr>
        <w:spacing w:line="360" w:lineRule="auto"/>
        <w:rPr>
          <w:rFonts w:cs="Arial"/>
          <w:bCs/>
          <w:szCs w:val="22"/>
          <w:lang w:val="de-DE" w:eastAsia="ar-SA"/>
        </w:rPr>
      </w:pPr>
    </w:p>
    <w:p w:rsidR="006B1375" w:rsidRPr="006B1375" w:rsidRDefault="006B1375" w:rsidP="006B1375">
      <w:pPr>
        <w:spacing w:line="360" w:lineRule="auto"/>
        <w:rPr>
          <w:rFonts w:cs="Arial"/>
          <w:b/>
          <w:bCs/>
          <w:szCs w:val="22"/>
          <w:lang w:val="de-DE"/>
        </w:rPr>
      </w:pPr>
      <w:r w:rsidRPr="006B1375">
        <w:rPr>
          <w:b/>
          <w:bCs/>
          <w:szCs w:val="22"/>
          <w:lang w:val="de-DE"/>
        </w:rPr>
        <w:t>Vakuumabscheider P-Serie von Coperion K-</w:t>
      </w:r>
      <w:proofErr w:type="spellStart"/>
      <w:r w:rsidRPr="006B1375">
        <w:rPr>
          <w:b/>
          <w:bCs/>
          <w:szCs w:val="22"/>
          <w:lang w:val="de-DE"/>
        </w:rPr>
        <w:t>Tron</w:t>
      </w:r>
      <w:proofErr w:type="spellEnd"/>
      <w:r w:rsidRPr="006B1375">
        <w:rPr>
          <w:b/>
          <w:bCs/>
          <w:szCs w:val="22"/>
          <w:lang w:val="de-DE"/>
        </w:rPr>
        <w:t>: Lösungen für schwierige Materialien</w:t>
      </w:r>
    </w:p>
    <w:p w:rsidR="006B1375" w:rsidRPr="006B1375" w:rsidRDefault="006B1375" w:rsidP="00E44B24">
      <w:pPr>
        <w:spacing w:line="360" w:lineRule="auto"/>
        <w:rPr>
          <w:rFonts w:cs="Arial"/>
          <w:bCs/>
          <w:szCs w:val="22"/>
          <w:lang w:val="de-DE"/>
        </w:rPr>
      </w:pPr>
      <w:r w:rsidRPr="006B1375">
        <w:rPr>
          <w:lang w:val="de-DE"/>
        </w:rPr>
        <w:t>Die hygienischen Abscheider der P-Serie von Coperion K-</w:t>
      </w:r>
      <w:proofErr w:type="spellStart"/>
      <w:r w:rsidRPr="006B1375">
        <w:rPr>
          <w:lang w:val="de-DE"/>
        </w:rPr>
        <w:t>Tron</w:t>
      </w:r>
      <w:proofErr w:type="spellEnd"/>
      <w:r w:rsidRPr="006B1375">
        <w:rPr>
          <w:lang w:val="de-DE"/>
        </w:rPr>
        <w:t xml:space="preserve"> sind für die Förderung von schwierigen Materialien ausgelegt. Die steilen </w:t>
      </w:r>
      <w:proofErr w:type="spellStart"/>
      <w:r w:rsidRPr="006B1375">
        <w:rPr>
          <w:lang w:val="de-DE"/>
        </w:rPr>
        <w:t>Auslaufskonen</w:t>
      </w:r>
      <w:proofErr w:type="spellEnd"/>
      <w:r w:rsidRPr="006B1375">
        <w:rPr>
          <w:lang w:val="de-DE"/>
        </w:rPr>
        <w:t xml:space="preserve"> ermöglichen einen sicheren Produktaustrag und Spannringverbindungen sorgen für eine schnelle Demontage. </w:t>
      </w:r>
      <w:r w:rsidR="00E44B24" w:rsidRPr="00E44B24">
        <w:rPr>
          <w:lang w:val="de-DE"/>
        </w:rPr>
        <w:t xml:space="preserve">Die Abscheider der P-Serie können für </w:t>
      </w:r>
      <w:r w:rsidRPr="006B1375">
        <w:rPr>
          <w:lang w:val="de-DE"/>
        </w:rPr>
        <w:t xml:space="preserve"> Vakuum-, Dichtstrom- und Flugförderung</w:t>
      </w:r>
      <w:r w:rsidR="00E44B24">
        <w:rPr>
          <w:lang w:val="de-DE"/>
        </w:rPr>
        <w:t xml:space="preserve"> eingesetzt werden</w:t>
      </w:r>
      <w:r w:rsidRPr="006B1375">
        <w:rPr>
          <w:lang w:val="de-DE"/>
        </w:rPr>
        <w:t>. Die Förderleistungen hängen vom Modell, den Produkteigenschaften und den Förderdistanzen ab. Typische Materialien sind Tabletten, Kapseln, flockenförmige Produkte, frei fließende Pulver bis hin zu Pulvern mit schlechten Fließeigenschaften sowie Materialien, die produktschonend befördert werden müssen. Ausgestellt wird ein P10 in hochglanzpolierter Ausführung.</w:t>
      </w:r>
    </w:p>
    <w:p w:rsidR="006B1375" w:rsidRPr="006B1375" w:rsidRDefault="006B1375" w:rsidP="006B1375">
      <w:pPr>
        <w:spacing w:line="360" w:lineRule="auto"/>
        <w:rPr>
          <w:rFonts w:cs="Arial"/>
          <w:bCs/>
          <w:szCs w:val="22"/>
          <w:lang w:val="de-DE" w:eastAsia="ar-SA"/>
        </w:rPr>
      </w:pPr>
    </w:p>
    <w:p w:rsidR="006B1375" w:rsidRPr="006B1375" w:rsidRDefault="006B1375" w:rsidP="006B1375">
      <w:pPr>
        <w:spacing w:line="360" w:lineRule="auto"/>
        <w:rPr>
          <w:rFonts w:cs="Arial"/>
          <w:b/>
          <w:bCs/>
          <w:szCs w:val="22"/>
          <w:lang w:val="de-DE"/>
        </w:rPr>
      </w:pPr>
      <w:r w:rsidRPr="006B1375">
        <w:rPr>
          <w:b/>
          <w:bCs/>
          <w:szCs w:val="22"/>
          <w:lang w:val="de-DE"/>
        </w:rPr>
        <w:t>Coperion Hygiene Zellenradschleuse ZZB für pharmazeutische Anwendungen</w:t>
      </w:r>
    </w:p>
    <w:p w:rsidR="006B1375" w:rsidRDefault="006B1375" w:rsidP="006B1375">
      <w:pPr>
        <w:spacing w:line="360" w:lineRule="auto"/>
        <w:rPr>
          <w:lang w:val="de-DE"/>
        </w:rPr>
      </w:pPr>
      <w:r w:rsidRPr="006B1375">
        <w:rPr>
          <w:lang w:val="de-DE"/>
        </w:rPr>
        <w:t xml:space="preserve">Die hygienische Zellenradschleuse ZZB von Coperion ist speziell für pharmazeutische Anwendungen konzipiert, die hohe Hygienestandards bei Austrag und Dosierung von pharmazeutischen Pulvern sowie eine häufige Reinigung und einfache Bedienung erfordern. Die Oberflächen der Zellenradschleuse sind innen und außen auf einen </w:t>
      </w:r>
      <w:proofErr w:type="spellStart"/>
      <w:r w:rsidRPr="006B1375">
        <w:rPr>
          <w:lang w:val="de-DE"/>
        </w:rPr>
        <w:t>Rauwert</w:t>
      </w:r>
      <w:proofErr w:type="spellEnd"/>
      <w:r w:rsidRPr="006B1375">
        <w:rPr>
          <w:lang w:val="de-DE"/>
        </w:rPr>
        <w:t xml:space="preserve"> Ra 0,8 </w:t>
      </w:r>
      <w:r w:rsidRPr="006B1375">
        <w:rPr>
          <w:color w:val="111111"/>
          <w:shd w:val="clear" w:color="auto" w:fill="FFFFFF"/>
          <w:lang w:val="de-DE"/>
        </w:rPr>
        <w:t xml:space="preserve">µm </w:t>
      </w:r>
      <w:r w:rsidRPr="006B1375">
        <w:rPr>
          <w:lang w:val="de-DE"/>
        </w:rPr>
        <w:t xml:space="preserve">hochglanzpoliert, um Produktablagerungen zu vermeiden. Alle produktberührten Oberflächen sind FDA-konform. </w:t>
      </w:r>
      <w:r w:rsidRPr="006B1375">
        <w:rPr>
          <w:color w:val="111111"/>
          <w:shd w:val="clear" w:color="auto" w:fill="FFFFFF"/>
          <w:lang w:val="de-DE"/>
        </w:rPr>
        <w:t xml:space="preserve">Durch die standardmäßig vorgesehenen Schnellreinigung kann das Zellenrad einfach aus dem Gehäuse gezogen werden. Schnell zu öffnende </w:t>
      </w:r>
      <w:proofErr w:type="spellStart"/>
      <w:r w:rsidRPr="006B1375">
        <w:rPr>
          <w:color w:val="111111"/>
          <w:shd w:val="clear" w:color="auto" w:fill="FFFFFF"/>
          <w:lang w:val="de-DE"/>
        </w:rPr>
        <w:t>Clamp</w:t>
      </w:r>
      <w:proofErr w:type="spellEnd"/>
      <w:r w:rsidRPr="006B1375">
        <w:rPr>
          <w:color w:val="111111"/>
          <w:shd w:val="clear" w:color="auto" w:fill="FFFFFF"/>
          <w:lang w:val="de-DE"/>
        </w:rPr>
        <w:t>-Verbindungen am Ein-und Auslauf vereinfachen zudem Installation und Wartung.</w:t>
      </w:r>
      <w:r w:rsidRPr="006B1375">
        <w:rPr>
          <w:lang w:val="de-DE"/>
        </w:rPr>
        <w:t xml:space="preserve"> Durch den </w:t>
      </w:r>
      <w:r w:rsidRPr="006B1375">
        <w:rPr>
          <w:lang w:val="de-DE"/>
        </w:rPr>
        <w:lastRenderedPageBreak/>
        <w:t>großen Einlauf wird eine hohe Leistung erzielt. Die außenliegenden Lager sind durch eine Dichtungsanordnung mit Ausfallöffnung vom Produktraum getrennt. Optional ist eine gasgespülte Dichtung verfügbar.  Die platzsparende Edelstahlschleuse ist erhältlich in den Baugrößen DN 80 und 100 (Ein- und Auslauf) und optimal geeignet für Anwendungen mit Leistungen bis 1,3m³/h, Drücken bis 1 bar, Einsatztemperaturen bis 100°C und auch den Einsatz in Ex-Zonen.</w:t>
      </w:r>
    </w:p>
    <w:p w:rsidR="006B1375" w:rsidRDefault="006B1375" w:rsidP="006B1375">
      <w:pPr>
        <w:spacing w:line="360" w:lineRule="auto"/>
        <w:rPr>
          <w:lang w:val="de-DE"/>
        </w:rPr>
      </w:pPr>
    </w:p>
    <w:p w:rsidR="006B1375" w:rsidRDefault="006B1375" w:rsidP="006B1375">
      <w:pPr>
        <w:spacing w:line="360" w:lineRule="auto"/>
        <w:rPr>
          <w:lang w:val="de-DE"/>
        </w:rPr>
      </w:pPr>
    </w:p>
    <w:p w:rsidR="006B1375" w:rsidRPr="00E44B24" w:rsidRDefault="006B1375" w:rsidP="006B1375">
      <w:pPr>
        <w:rPr>
          <w:lang w:val="de-DE"/>
        </w:rPr>
      </w:pPr>
    </w:p>
    <w:p w:rsidR="006B1375" w:rsidRPr="006B1375" w:rsidRDefault="006B1375" w:rsidP="006B1375">
      <w:pPr>
        <w:rPr>
          <w:rFonts w:cs="Arial"/>
          <w:sz w:val="20"/>
          <w:lang w:val="de-DE"/>
        </w:rPr>
      </w:pPr>
      <w:r w:rsidRPr="006B1375">
        <w:rPr>
          <w:rFonts w:cs="Arial"/>
          <w:sz w:val="20"/>
          <w:lang w:val="de-DE"/>
        </w:rPr>
        <w:t>Coperion (</w:t>
      </w:r>
      <w:hyperlink r:id="rId10" w:history="1">
        <w:r w:rsidRPr="006B1375">
          <w:rPr>
            <w:rStyle w:val="Hyperlink"/>
            <w:rFonts w:cs="Arial"/>
            <w:sz w:val="20"/>
            <w:lang w:val="de-DE"/>
          </w:rPr>
          <w:t>www.coperion.com</w:t>
        </w:r>
      </w:hyperlink>
      <w:r w:rsidRPr="006B1375">
        <w:rPr>
          <w:rFonts w:cs="Arial"/>
          <w:sz w:val="20"/>
          <w:lang w:val="de-DE"/>
        </w:rPr>
        <w:t xml:space="preserve">) ist der weltweite Markt- und Technologieführer bei </w:t>
      </w:r>
      <w:proofErr w:type="spellStart"/>
      <w:r w:rsidRPr="006B1375">
        <w:rPr>
          <w:rFonts w:cs="Arial"/>
          <w:sz w:val="20"/>
          <w:lang w:val="de-DE"/>
        </w:rPr>
        <w:t>Compoundiersystemen</w:t>
      </w:r>
      <w:proofErr w:type="spellEnd"/>
      <w:r w:rsidRPr="006B1375">
        <w:rPr>
          <w:rFonts w:cs="Arial"/>
          <w:sz w:val="20"/>
          <w:lang w:val="de-DE"/>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6B1375">
        <w:rPr>
          <w:sz w:val="20"/>
          <w:lang w:val="de-DE"/>
        </w:rPr>
        <w:t>Compounding</w:t>
      </w:r>
      <w:proofErr w:type="spellEnd"/>
      <w:r w:rsidRPr="006B1375">
        <w:rPr>
          <w:sz w:val="20"/>
          <w:lang w:val="de-DE"/>
        </w:rPr>
        <w:t xml:space="preserve"> &amp; Extrusion, Equipment &amp; Systems, Materials Handling und Service</w:t>
      </w:r>
      <w:r w:rsidRPr="006B1375">
        <w:rPr>
          <w:rFonts w:cs="Arial"/>
          <w:sz w:val="20"/>
          <w:lang w:val="de-DE"/>
        </w:rPr>
        <w:t xml:space="preserve"> sowie seinen 30 Vertriebs- und Servicegesellschaften. Coperion K-</w:t>
      </w:r>
      <w:proofErr w:type="spellStart"/>
      <w:r w:rsidRPr="006B1375">
        <w:rPr>
          <w:rFonts w:cs="Arial"/>
          <w:sz w:val="20"/>
          <w:lang w:val="de-DE"/>
        </w:rPr>
        <w:t>Tron</w:t>
      </w:r>
      <w:proofErr w:type="spellEnd"/>
      <w:r w:rsidRPr="006B1375">
        <w:rPr>
          <w:rFonts w:cs="Arial"/>
          <w:sz w:val="20"/>
          <w:lang w:val="de-DE"/>
        </w:rPr>
        <w:t xml:space="preserve"> ist ein Teil der Division Equipment &amp; Systems.</w:t>
      </w:r>
    </w:p>
    <w:p w:rsidR="006B1375" w:rsidRPr="006B1375" w:rsidRDefault="006B1375" w:rsidP="006B1375">
      <w:pPr>
        <w:pStyle w:val="Trennung"/>
        <w:spacing w:before="240" w:after="240"/>
        <w:rPr>
          <w:lang w:val="de-DE"/>
        </w:rPr>
      </w:pPr>
    </w:p>
    <w:p w:rsidR="006B1375" w:rsidRPr="00E44B24" w:rsidRDefault="006B1375" w:rsidP="006B1375">
      <w:pPr>
        <w:pStyle w:val="Trennung"/>
        <w:spacing w:before="240" w:after="240"/>
        <w:rPr>
          <w:lang w:val="de-DE"/>
        </w:rPr>
      </w:pPr>
      <w:r w:rsidRPr="0094479B">
        <w:t></w:t>
      </w:r>
      <w:r w:rsidRPr="0094479B">
        <w:t></w:t>
      </w:r>
      <w:r w:rsidRPr="0094479B">
        <w:t></w:t>
      </w:r>
    </w:p>
    <w:p w:rsidR="006B1375" w:rsidRPr="006B1375" w:rsidRDefault="006B1375" w:rsidP="006B1375">
      <w:pPr>
        <w:pStyle w:val="Trennung"/>
        <w:spacing w:before="240" w:after="240"/>
        <w:rPr>
          <w:lang w:val="de-DE"/>
        </w:rPr>
      </w:pPr>
    </w:p>
    <w:p w:rsidR="006B1375" w:rsidRPr="006B1375" w:rsidRDefault="006B1375" w:rsidP="006B1375">
      <w:pPr>
        <w:pStyle w:val="Internet"/>
        <w:pBdr>
          <w:bottom w:val="single" w:sz="8" w:space="0" w:color="auto"/>
        </w:pBdr>
        <w:ind w:right="-113"/>
        <w:rPr>
          <w:lang w:val="de-DE"/>
        </w:rPr>
      </w:pPr>
      <w:r w:rsidRPr="006B1375">
        <w:rPr>
          <w:sz w:val="6"/>
          <w:lang w:val="de-DE"/>
        </w:rPr>
        <w:br/>
      </w:r>
      <w:r w:rsidRPr="006B1375">
        <w:rPr>
          <w:lang w:val="de-DE"/>
        </w:rPr>
        <w:t xml:space="preserve">Liebe Kolleginnen und Kollegen, </w:t>
      </w:r>
      <w:r w:rsidRPr="006B1375">
        <w:rPr>
          <w:lang w:val="de-DE"/>
        </w:rPr>
        <w:br/>
        <w:t xml:space="preserve">Sie finden diese </w:t>
      </w:r>
      <w:r w:rsidRPr="006B1375">
        <w:rPr>
          <w:u w:val="single"/>
          <w:lang w:val="de-DE"/>
        </w:rPr>
        <w:t>Pressemitteilung in deutscher und englischer Sprache</w:t>
      </w:r>
      <w:r w:rsidRPr="006B1375">
        <w:rPr>
          <w:lang w:val="de-DE"/>
        </w:rPr>
        <w:t xml:space="preserve"> und </w:t>
      </w:r>
      <w:r w:rsidRPr="006B1375">
        <w:rPr>
          <w:u w:val="single"/>
          <w:lang w:val="de-DE"/>
        </w:rPr>
        <w:br/>
        <w:t>die Farbbilder in druckfähiger Qualität</w:t>
      </w:r>
      <w:r w:rsidRPr="006B1375">
        <w:rPr>
          <w:lang w:val="de-DE"/>
        </w:rPr>
        <w:t xml:space="preserve"> zum Herunterladen im Internet unter </w:t>
      </w:r>
    </w:p>
    <w:p w:rsidR="006B1375" w:rsidRPr="006B1375" w:rsidRDefault="006B1375" w:rsidP="006B1375">
      <w:pPr>
        <w:pStyle w:val="Internet"/>
        <w:pBdr>
          <w:bottom w:val="single" w:sz="8" w:space="0" w:color="auto"/>
        </w:pBdr>
        <w:ind w:right="-113"/>
        <w:rPr>
          <w:b/>
          <w:lang w:val="de-DE"/>
        </w:rPr>
      </w:pPr>
      <w:r w:rsidRPr="006B1375">
        <w:rPr>
          <w:rStyle w:val="Hyperlink"/>
          <w:b/>
          <w:lang w:val="de-DE"/>
        </w:rPr>
        <w:t>https://www.coperion.com/de/news-media/pressemitteilungen/</w:t>
      </w:r>
      <w:bookmarkStart w:id="1" w:name="OLE_LINK1"/>
    </w:p>
    <w:bookmarkEnd w:id="1"/>
    <w:p w:rsidR="006B1375" w:rsidRPr="006B1375" w:rsidRDefault="006B1375" w:rsidP="006B1375">
      <w:pPr>
        <w:pStyle w:val="Internet"/>
        <w:pBdr>
          <w:bottom w:val="single" w:sz="8" w:space="0" w:color="auto"/>
        </w:pBdr>
        <w:ind w:right="-113"/>
        <w:rPr>
          <w:sz w:val="6"/>
          <w:lang w:val="de-DE"/>
        </w:rPr>
      </w:pPr>
      <w:r w:rsidRPr="006B1375">
        <w:rPr>
          <w:sz w:val="6"/>
          <w:lang w:val="de-DE"/>
        </w:rPr>
        <w:t xml:space="preserve">  .</w:t>
      </w:r>
    </w:p>
    <w:p w:rsidR="006B1375" w:rsidRPr="006B1375" w:rsidRDefault="006B1375" w:rsidP="006B1375">
      <w:pPr>
        <w:pStyle w:val="Beleg"/>
        <w:spacing w:before="360"/>
        <w:rPr>
          <w:lang w:val="de-DE"/>
        </w:rPr>
      </w:pPr>
      <w:r w:rsidRPr="006B1375">
        <w:rPr>
          <w:lang w:val="de-DE"/>
        </w:rPr>
        <w:t xml:space="preserve">Redaktioneller Kontakt und Belegexemplare: </w:t>
      </w:r>
    </w:p>
    <w:p w:rsidR="006B1375" w:rsidRPr="006B1375" w:rsidRDefault="006B1375" w:rsidP="006B1375">
      <w:pPr>
        <w:pStyle w:val="Konsens"/>
        <w:spacing w:before="120"/>
        <w:rPr>
          <w:rStyle w:val="Hyperlink"/>
          <w:szCs w:val="22"/>
          <w:lang w:val="de-DE"/>
        </w:rPr>
      </w:pPr>
      <w:r w:rsidRPr="006B1375">
        <w:rPr>
          <w:lang w:val="de-DE"/>
        </w:rPr>
        <w:t>Dr. Jörg Wolters,  KONSENS Public Relations GmbH &amp; Co. KG,</w:t>
      </w:r>
      <w:r w:rsidRPr="006B1375">
        <w:rPr>
          <w:lang w:val="de-DE"/>
        </w:rPr>
        <w:br/>
        <w:t>Hans-</w:t>
      </w:r>
      <w:proofErr w:type="spellStart"/>
      <w:r w:rsidRPr="006B1375">
        <w:rPr>
          <w:lang w:val="de-DE"/>
        </w:rPr>
        <w:t>Kudlich</w:t>
      </w:r>
      <w:proofErr w:type="spellEnd"/>
      <w:r w:rsidRPr="006B1375">
        <w:rPr>
          <w:lang w:val="de-DE"/>
        </w:rPr>
        <w:t>-Straße 25,  D-64823 Groß-Umstadt</w:t>
      </w:r>
      <w:r w:rsidRPr="006B1375">
        <w:rPr>
          <w:lang w:val="de-DE"/>
        </w:rPr>
        <w:br/>
        <w:t>Tel.:+49 (0)60 78/93 63-0,  Fax: +49 (0)60 78/93 63-20</w:t>
      </w:r>
      <w:r w:rsidRPr="006B1375">
        <w:rPr>
          <w:lang w:val="de-DE"/>
        </w:rPr>
        <w:br/>
        <w:t xml:space="preserve">E-Mail:  </w:t>
      </w:r>
      <w:r w:rsidRPr="006B1375">
        <w:rPr>
          <w:szCs w:val="22"/>
          <w:lang w:val="de-DE"/>
        </w:rPr>
        <w:t xml:space="preserve">mail@konsens.de,  Internet:  </w:t>
      </w:r>
      <w:hyperlink r:id="rId11" w:history="1">
        <w:r w:rsidRPr="006B1375">
          <w:rPr>
            <w:rStyle w:val="Hyperlink"/>
            <w:szCs w:val="22"/>
            <w:lang w:val="de-DE"/>
          </w:rPr>
          <w:t>www.konsens.de</w:t>
        </w:r>
      </w:hyperlink>
    </w:p>
    <w:p w:rsidR="006B1375" w:rsidRDefault="006B1375" w:rsidP="006B1375">
      <w:pPr>
        <w:spacing w:line="360" w:lineRule="auto"/>
        <w:rPr>
          <w:lang w:val="de-DE"/>
        </w:rPr>
      </w:pPr>
    </w:p>
    <w:p w:rsidR="006B1375" w:rsidRPr="006B1375" w:rsidRDefault="006B1375" w:rsidP="006B1375">
      <w:pPr>
        <w:spacing w:line="360" w:lineRule="auto"/>
        <w:rPr>
          <w:lang w:val="de-DE"/>
        </w:rPr>
      </w:pPr>
    </w:p>
    <w:p w:rsidR="006B1375" w:rsidRDefault="006B1375" w:rsidP="006B1375">
      <w:pPr>
        <w:spacing w:line="360" w:lineRule="auto"/>
        <w:rPr>
          <w:rFonts w:cs="Arial"/>
          <w:color w:val="111111"/>
          <w:shd w:val="clear" w:color="auto" w:fill="FFFFFF"/>
          <w:lang w:val="de-DE"/>
        </w:rPr>
      </w:pPr>
    </w:p>
    <w:p w:rsidR="00D97064" w:rsidRDefault="00D97064" w:rsidP="006B1375">
      <w:pPr>
        <w:spacing w:line="360" w:lineRule="auto"/>
        <w:rPr>
          <w:rFonts w:cs="Arial"/>
          <w:color w:val="111111"/>
          <w:shd w:val="clear" w:color="auto" w:fill="FFFFFF"/>
          <w:lang w:val="de-DE"/>
        </w:rPr>
      </w:pPr>
    </w:p>
    <w:p w:rsidR="00D97064" w:rsidRPr="006B1375" w:rsidRDefault="00D97064" w:rsidP="006B1375">
      <w:pPr>
        <w:spacing w:line="360" w:lineRule="auto"/>
        <w:rPr>
          <w:rFonts w:cs="Arial"/>
          <w:color w:val="111111"/>
          <w:shd w:val="clear" w:color="auto" w:fill="FFFFFF"/>
          <w:lang w:val="de-DE"/>
        </w:rPr>
      </w:pPr>
    </w:p>
    <w:p w:rsidR="00534AB2" w:rsidRPr="006B1375" w:rsidRDefault="00534AB2" w:rsidP="00AB1BDF">
      <w:pPr>
        <w:tabs>
          <w:tab w:val="left" w:pos="90"/>
        </w:tabs>
        <w:snapToGrid w:val="0"/>
        <w:rPr>
          <w:rFonts w:cs="Arial"/>
          <w:sz w:val="20"/>
          <w:lang w:val="de-DE"/>
        </w:rPr>
      </w:pPr>
    </w:p>
    <w:p w:rsidR="006B1375" w:rsidRDefault="006B1375" w:rsidP="006B1375">
      <w:pPr>
        <w:pStyle w:val="bild"/>
        <w:spacing w:after="120"/>
        <w:rPr>
          <w:lang w:val="de-DE"/>
        </w:rPr>
      </w:pPr>
      <w:r w:rsidRPr="006B1375">
        <w:rPr>
          <w:lang w:val="de-DE"/>
        </w:rPr>
        <w:lastRenderedPageBreak/>
        <w:t xml:space="preserve">Die neue </w:t>
      </w:r>
      <w:proofErr w:type="spellStart"/>
      <w:r w:rsidRPr="006B1375">
        <w:rPr>
          <w:lang w:val="de-DE"/>
        </w:rPr>
        <w:t>Dosiererlinie</w:t>
      </w:r>
      <w:proofErr w:type="spellEnd"/>
      <w:r w:rsidRPr="006B1375">
        <w:rPr>
          <w:lang w:val="de-DE"/>
        </w:rPr>
        <w:t xml:space="preserve"> K3-PH im modularen Design wurde speziell für die wachsenden Anforderungen von kontinuierlichen Prozessen in der Pharma-Industrie entwickelt. </w:t>
      </w:r>
    </w:p>
    <w:p w:rsidR="006B1375" w:rsidRPr="006B1375" w:rsidRDefault="006B1375" w:rsidP="006B1375">
      <w:pPr>
        <w:pStyle w:val="bild"/>
        <w:spacing w:before="120" w:after="120"/>
        <w:rPr>
          <w:lang w:val="de-DE"/>
        </w:rPr>
      </w:pPr>
      <w:r w:rsidRPr="006B1375">
        <w:rPr>
          <w:lang w:val="de-DE"/>
        </w:rPr>
        <w:t>Bild: Coperion K-</w:t>
      </w:r>
      <w:proofErr w:type="spellStart"/>
      <w:r w:rsidRPr="006B1375">
        <w:rPr>
          <w:lang w:val="de-DE"/>
        </w:rPr>
        <w:t>Tron</w:t>
      </w:r>
      <w:proofErr w:type="spellEnd"/>
      <w:r w:rsidRPr="006B1375">
        <w:rPr>
          <w:lang w:val="de-DE"/>
        </w:rPr>
        <w:t xml:space="preserve">, Niederlenz, Schweiz </w:t>
      </w:r>
    </w:p>
    <w:p w:rsidR="00534AB2" w:rsidRPr="006B1375" w:rsidRDefault="006B1375" w:rsidP="00534AB2">
      <w:pPr>
        <w:pStyle w:val="bild"/>
        <w:rPr>
          <w:lang w:val="de-DE"/>
        </w:rPr>
      </w:pPr>
      <w:r>
        <w:rPr>
          <w:lang w:val="de-DE"/>
        </w:rPr>
        <w:br/>
      </w:r>
    </w:p>
    <w:p w:rsidR="006B1375" w:rsidRPr="006B1375" w:rsidRDefault="006B1375" w:rsidP="006B1375">
      <w:pPr>
        <w:pStyle w:val="bild"/>
        <w:spacing w:after="120"/>
        <w:rPr>
          <w:lang w:val="de-DE"/>
        </w:rPr>
      </w:pPr>
      <w:r w:rsidRPr="006B1375">
        <w:rPr>
          <w:lang w:val="de-DE"/>
        </w:rPr>
        <w:t>Der Pharma-</w:t>
      </w:r>
      <w:proofErr w:type="spellStart"/>
      <w:r w:rsidRPr="006B1375">
        <w:rPr>
          <w:lang w:val="de-DE"/>
        </w:rPr>
        <w:t>Dosierer</w:t>
      </w:r>
      <w:proofErr w:type="spellEnd"/>
      <w:r w:rsidRPr="006B1375">
        <w:rPr>
          <w:lang w:val="de-DE"/>
        </w:rPr>
        <w:t xml:space="preserve"> QT20 von Coperion K-</w:t>
      </w:r>
      <w:proofErr w:type="spellStart"/>
      <w:r w:rsidRPr="006B1375">
        <w:rPr>
          <w:lang w:val="de-DE"/>
        </w:rPr>
        <w:t>Tron</w:t>
      </w:r>
      <w:proofErr w:type="spellEnd"/>
      <w:r w:rsidRPr="006B1375">
        <w:rPr>
          <w:lang w:val="de-DE"/>
        </w:rPr>
        <w:t xml:space="preserve"> </w:t>
      </w:r>
      <w:r w:rsidR="00E44B24">
        <w:rPr>
          <w:lang w:val="de-DE"/>
        </w:rPr>
        <w:t xml:space="preserve">mit D4-Waage </w:t>
      </w:r>
      <w:r w:rsidRPr="006B1375">
        <w:rPr>
          <w:lang w:val="de-DE"/>
        </w:rPr>
        <w:t xml:space="preserve">im neuen, trapezförmigen Design mit deutlich kleinerer Standfläche eignet sich hervorragend für die Gruppierung mehrerer </w:t>
      </w:r>
      <w:proofErr w:type="spellStart"/>
      <w:r w:rsidRPr="006B1375">
        <w:rPr>
          <w:lang w:val="de-DE"/>
        </w:rPr>
        <w:t>Dosierer</w:t>
      </w:r>
      <w:proofErr w:type="spellEnd"/>
      <w:r w:rsidRPr="006B1375">
        <w:rPr>
          <w:lang w:val="de-DE"/>
        </w:rPr>
        <w:t xml:space="preserve"> an einem Prozesseinlauf.</w:t>
      </w:r>
    </w:p>
    <w:p w:rsidR="006B1375" w:rsidRPr="006B1375" w:rsidRDefault="006B1375" w:rsidP="006B1375">
      <w:pPr>
        <w:pStyle w:val="bild"/>
        <w:spacing w:before="120" w:after="120"/>
        <w:rPr>
          <w:lang w:val="de-DE"/>
        </w:rPr>
      </w:pPr>
      <w:r w:rsidRPr="006B1375">
        <w:rPr>
          <w:lang w:val="de-DE"/>
        </w:rPr>
        <w:t>Bild: Coperion K-</w:t>
      </w:r>
      <w:proofErr w:type="spellStart"/>
      <w:r w:rsidRPr="006B1375">
        <w:rPr>
          <w:lang w:val="de-DE"/>
        </w:rPr>
        <w:t>Tron</w:t>
      </w:r>
      <w:proofErr w:type="spellEnd"/>
      <w:r w:rsidRPr="006B1375">
        <w:rPr>
          <w:lang w:val="de-DE"/>
        </w:rPr>
        <w:t>, Niederlenz, Schweiz</w:t>
      </w:r>
    </w:p>
    <w:p w:rsidR="00AB1BDF" w:rsidRDefault="00AB1BDF" w:rsidP="006B1375">
      <w:pPr>
        <w:pStyle w:val="bild"/>
        <w:rPr>
          <w:lang w:val="de-DE" w:eastAsia="ar-SA"/>
        </w:rPr>
      </w:pPr>
    </w:p>
    <w:p w:rsidR="00D97064" w:rsidRPr="006B1375" w:rsidRDefault="00D97064" w:rsidP="006B1375">
      <w:pPr>
        <w:pStyle w:val="bild"/>
        <w:rPr>
          <w:lang w:val="de-DE" w:eastAsia="ar-SA"/>
        </w:rPr>
      </w:pPr>
    </w:p>
    <w:p w:rsidR="006B1375" w:rsidRPr="006B1375" w:rsidRDefault="006B1375" w:rsidP="006B1375">
      <w:pPr>
        <w:pStyle w:val="bild"/>
        <w:spacing w:after="120"/>
        <w:rPr>
          <w:lang w:val="de-DE"/>
        </w:rPr>
      </w:pPr>
      <w:r w:rsidRPr="006B1375">
        <w:rPr>
          <w:lang w:val="de-DE"/>
        </w:rPr>
        <w:t xml:space="preserve">Der </w:t>
      </w:r>
      <w:proofErr w:type="spellStart"/>
      <w:r w:rsidRPr="006B1375">
        <w:rPr>
          <w:lang w:val="de-DE"/>
        </w:rPr>
        <w:t>Mikrodosierer</w:t>
      </w:r>
      <w:proofErr w:type="spellEnd"/>
      <w:r w:rsidRPr="006B1375">
        <w:rPr>
          <w:lang w:val="de-DE"/>
        </w:rPr>
        <w:t xml:space="preserve"> MT12 von Coperion K-</w:t>
      </w:r>
      <w:proofErr w:type="spellStart"/>
      <w:r w:rsidRPr="006B1375">
        <w:rPr>
          <w:lang w:val="de-DE"/>
        </w:rPr>
        <w:t>Tron</w:t>
      </w:r>
      <w:proofErr w:type="spellEnd"/>
      <w:r w:rsidRPr="006B1375">
        <w:rPr>
          <w:lang w:val="de-DE"/>
        </w:rPr>
        <w:t xml:space="preserve"> ist für Feinmaterial bei sehr niedriger Dosierleistung (ab 20 g/h) ausgelegt. </w:t>
      </w:r>
    </w:p>
    <w:p w:rsidR="00AB1BDF" w:rsidRPr="00E44B24" w:rsidRDefault="006B1375" w:rsidP="006B1375">
      <w:pPr>
        <w:pStyle w:val="bild"/>
        <w:spacing w:before="120" w:after="120"/>
        <w:rPr>
          <w:lang w:val="sv-SE"/>
        </w:rPr>
      </w:pPr>
      <w:r w:rsidRPr="00E44B24">
        <w:rPr>
          <w:lang w:val="sv-SE"/>
        </w:rPr>
        <w:t xml:space="preserve">Bild: Coperion K-Tron, </w:t>
      </w:r>
      <w:proofErr w:type="spellStart"/>
      <w:r w:rsidRPr="00E44B24">
        <w:rPr>
          <w:lang w:val="sv-SE"/>
        </w:rPr>
        <w:t>Sewell</w:t>
      </w:r>
      <w:proofErr w:type="spellEnd"/>
      <w:r w:rsidRPr="00E44B24">
        <w:rPr>
          <w:lang w:val="sv-SE"/>
        </w:rPr>
        <w:t>, NJ, USA</w:t>
      </w:r>
    </w:p>
    <w:p w:rsidR="00AB1BDF" w:rsidRDefault="00AB1BDF" w:rsidP="00AB1BDF">
      <w:pPr>
        <w:pStyle w:val="bild"/>
        <w:rPr>
          <w:lang w:val="sv-SE" w:eastAsia="ar-SA"/>
        </w:rPr>
      </w:pPr>
    </w:p>
    <w:p w:rsidR="00D97064" w:rsidRPr="00D97064" w:rsidRDefault="00D97064" w:rsidP="00AB1BDF">
      <w:pPr>
        <w:pStyle w:val="bild"/>
        <w:rPr>
          <w:lang w:val="sv-SE" w:eastAsia="ar-SA"/>
        </w:rPr>
      </w:pPr>
    </w:p>
    <w:p w:rsidR="006B1375" w:rsidRDefault="006B1375" w:rsidP="00E44B24">
      <w:pPr>
        <w:pStyle w:val="bild"/>
        <w:spacing w:after="120"/>
        <w:rPr>
          <w:lang w:val="de-DE"/>
        </w:rPr>
      </w:pPr>
      <w:r w:rsidRPr="006B1375">
        <w:rPr>
          <w:lang w:val="de-DE"/>
        </w:rPr>
        <w:t xml:space="preserve">Der </w:t>
      </w:r>
      <w:r w:rsidR="00E44B24">
        <w:rPr>
          <w:lang w:val="de-DE"/>
        </w:rPr>
        <w:t>Coperion K-</w:t>
      </w:r>
      <w:proofErr w:type="spellStart"/>
      <w:r w:rsidR="00E44B24">
        <w:rPr>
          <w:lang w:val="de-DE"/>
        </w:rPr>
        <w:t>Tron</w:t>
      </w:r>
      <w:proofErr w:type="spellEnd"/>
      <w:r w:rsidR="00E44B24">
        <w:rPr>
          <w:lang w:val="de-DE"/>
        </w:rPr>
        <w:t xml:space="preserve"> P10 Vakuumabscheider </w:t>
      </w:r>
      <w:r w:rsidRPr="006B1375">
        <w:rPr>
          <w:lang w:val="de-DE"/>
        </w:rPr>
        <w:t xml:space="preserve">ist eine maßgeschneiderte Lösung für die hygienische Handhabung von pharmazeutischen Bestandteilen. </w:t>
      </w:r>
    </w:p>
    <w:p w:rsidR="006B1375" w:rsidRPr="006B1375" w:rsidRDefault="006B1375" w:rsidP="006B1375">
      <w:pPr>
        <w:pStyle w:val="bild"/>
        <w:spacing w:before="120" w:after="120"/>
        <w:rPr>
          <w:lang w:val="de-DE"/>
        </w:rPr>
      </w:pPr>
      <w:r w:rsidRPr="006B1375">
        <w:rPr>
          <w:lang w:val="de-DE"/>
        </w:rPr>
        <w:t>Bild: Coperion K-</w:t>
      </w:r>
      <w:proofErr w:type="spellStart"/>
      <w:r w:rsidRPr="006B1375">
        <w:rPr>
          <w:lang w:val="de-DE"/>
        </w:rPr>
        <w:t>Tron</w:t>
      </w:r>
      <w:proofErr w:type="spellEnd"/>
      <w:r w:rsidRPr="006B1375">
        <w:rPr>
          <w:lang w:val="de-DE"/>
        </w:rPr>
        <w:t>, Niederlenz, Schweiz</w:t>
      </w:r>
    </w:p>
    <w:p w:rsidR="00AB1BDF" w:rsidRDefault="00AB1BDF" w:rsidP="00AB1BDF">
      <w:pPr>
        <w:pStyle w:val="bild"/>
        <w:rPr>
          <w:lang w:val="de-DE" w:eastAsia="ar-SA"/>
        </w:rPr>
      </w:pPr>
    </w:p>
    <w:p w:rsidR="00D97064" w:rsidRPr="006B1375" w:rsidRDefault="00D97064" w:rsidP="00AB1BDF">
      <w:pPr>
        <w:pStyle w:val="bild"/>
        <w:rPr>
          <w:lang w:val="de-DE" w:eastAsia="ar-SA"/>
        </w:rPr>
      </w:pPr>
    </w:p>
    <w:p w:rsidR="006B1375" w:rsidRDefault="006B1375" w:rsidP="006B1375">
      <w:pPr>
        <w:pStyle w:val="bild"/>
        <w:rPr>
          <w:lang w:val="de-DE"/>
        </w:rPr>
      </w:pPr>
      <w:r w:rsidRPr="006B1375">
        <w:rPr>
          <w:lang w:val="de-DE"/>
        </w:rPr>
        <w:t xml:space="preserve">Die hygienische Zellenradschleuse ZZB von Coperion aus Edelstahl erfüllt besonders hohe Hygienestandards. Die </w:t>
      </w:r>
      <w:proofErr w:type="spellStart"/>
      <w:r w:rsidRPr="006B1375">
        <w:rPr>
          <w:lang w:val="de-DE"/>
        </w:rPr>
        <w:t>Clamp</w:t>
      </w:r>
      <w:proofErr w:type="spellEnd"/>
      <w:r w:rsidRPr="006B1375">
        <w:rPr>
          <w:lang w:val="de-DE"/>
        </w:rPr>
        <w:t>-Verbindungen ermöglichen eine</w:t>
      </w:r>
      <w:r>
        <w:rPr>
          <w:lang w:val="de-DE"/>
        </w:rPr>
        <w:t xml:space="preserve"> einfache Montage und Wartung. </w:t>
      </w:r>
    </w:p>
    <w:p w:rsidR="006B1375" w:rsidRPr="006B1375" w:rsidRDefault="006B1375" w:rsidP="00D97064">
      <w:pPr>
        <w:pStyle w:val="bild"/>
        <w:spacing w:before="120"/>
        <w:rPr>
          <w:rFonts w:cs="Arial"/>
          <w:i w:val="0"/>
          <w:szCs w:val="22"/>
          <w:lang w:val="de-DE"/>
        </w:rPr>
      </w:pPr>
      <w:r w:rsidRPr="006B1375">
        <w:rPr>
          <w:lang w:val="de-DE"/>
        </w:rPr>
        <w:t>Bild: Coperion GmbH, Weingarten, Deutschland</w:t>
      </w:r>
    </w:p>
    <w:sectPr w:rsidR="006B1375" w:rsidRPr="006B1375" w:rsidSect="006B1375">
      <w:headerReference w:type="default" r:id="rId12"/>
      <w:footerReference w:type="default" r:id="rId13"/>
      <w:headerReference w:type="first" r:id="rId14"/>
      <w:footerReference w:type="first" r:id="rId15"/>
      <w:type w:val="continuous"/>
      <w:pgSz w:w="11906" w:h="16838" w:code="9"/>
      <w:pgMar w:top="2734" w:right="1134" w:bottom="1560" w:left="1418" w:header="77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B8" w:rsidRDefault="00317FB8">
      <w:r>
        <w:separator/>
      </w:r>
    </w:p>
  </w:endnote>
  <w:endnote w:type="continuationSeparator" w:id="0">
    <w:p w:rsidR="00317FB8" w:rsidRDefault="003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trPr>
        <w:cantSplit/>
      </w:trPr>
      <w:tc>
        <w:tcPr>
          <w:tcW w:w="7428" w:type="dxa"/>
          <w:noWrap/>
          <w:vAlign w:val="bottom"/>
        </w:tcPr>
        <w:p w:rsidR="00B87E7F" w:rsidRDefault="00B87E7F">
          <w:pPr>
            <w:pStyle w:val="Fuzeile"/>
            <w:spacing w:line="200" w:lineRule="exact"/>
            <w:rPr>
              <w:rFonts w:cs="Arial"/>
            </w:rPr>
          </w:pPr>
          <w:bookmarkStart w:id="5" w:name="Fuss2"/>
        </w:p>
      </w:tc>
      <w:tc>
        <w:tcPr>
          <w:tcW w:w="1758" w:type="dxa"/>
          <w:noWrap/>
          <w:vAlign w:val="bottom"/>
        </w:tcPr>
        <w:p w:rsidR="00B87E7F" w:rsidRDefault="00416E0A" w:rsidP="00416E0A">
          <w:pPr>
            <w:pStyle w:val="Fuzeile"/>
            <w:spacing w:line="200" w:lineRule="exact"/>
            <w:jc w:val="right"/>
            <w:rPr>
              <w:rFonts w:cs="Arial"/>
              <w:szCs w:val="14"/>
            </w:rPr>
          </w:pPr>
          <w:bookmarkStart w:id="6" w:name="PageName"/>
          <w:bookmarkEnd w:id="6"/>
          <w:proofErr w:type="spellStart"/>
          <w:r>
            <w:rPr>
              <w:rFonts w:cs="Arial"/>
              <w:szCs w:val="14"/>
            </w:rPr>
            <w:t>Seite</w:t>
          </w:r>
          <w:proofErr w:type="spellEnd"/>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995B7C">
            <w:rPr>
              <w:rFonts w:cs="Arial"/>
              <w:noProof/>
              <w:szCs w:val="14"/>
            </w:rPr>
            <w:t>1</w:t>
          </w:r>
          <w:r w:rsidR="00B87E7F">
            <w:rPr>
              <w:rFonts w:cs="Arial"/>
              <w:szCs w:val="14"/>
            </w:rPr>
            <w:fldChar w:fldCharType="end"/>
          </w:r>
          <w:r w:rsidR="00B87E7F">
            <w:rPr>
              <w:rFonts w:cs="Arial"/>
              <w:szCs w:val="14"/>
            </w:rPr>
            <w:t xml:space="preserve"> </w:t>
          </w:r>
          <w:r>
            <w:rPr>
              <w:rFonts w:cs="Arial"/>
              <w:szCs w:val="14"/>
            </w:rPr>
            <w:t>von</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995B7C">
            <w:rPr>
              <w:rStyle w:val="Seitenzahl"/>
              <w:noProof/>
            </w:rPr>
            <w:t>6</w:t>
          </w:r>
          <w:r w:rsidR="00B87E7F">
            <w:rPr>
              <w:rStyle w:val="Seitenzahl"/>
            </w:rPr>
            <w:fldChar w:fldCharType="end"/>
          </w:r>
        </w:p>
      </w:tc>
      <w:tc>
        <w:tcPr>
          <w:tcW w:w="567" w:type="dxa"/>
          <w:vAlign w:val="bottom"/>
        </w:tcPr>
        <w:p w:rsidR="00B87E7F" w:rsidRDefault="00B87E7F">
          <w:pPr>
            <w:pStyle w:val="Fuzeile"/>
            <w:spacing w:line="200" w:lineRule="exact"/>
            <w:rPr>
              <w:rFonts w:cs="Arial"/>
              <w:szCs w:val="14"/>
            </w:rPr>
          </w:pPr>
        </w:p>
      </w:tc>
    </w:tr>
    <w:bookmarkEnd w:id="5"/>
  </w:tbl>
  <w:p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tc>
        <w:tcPr>
          <w:tcW w:w="7371" w:type="dxa"/>
          <w:tcMar>
            <w:left w:w="0" w:type="dxa"/>
            <w:right w:w="0" w:type="dxa"/>
          </w:tcMar>
          <w:vAlign w:val="bottom"/>
        </w:tcPr>
        <w:p w:rsidR="00B87E7F" w:rsidRDefault="00B87E7F">
          <w:pPr>
            <w:pStyle w:val="Fuzeile"/>
            <w:spacing w:line="200" w:lineRule="exact"/>
            <w:rPr>
              <w:rFonts w:cs="Arial"/>
              <w:szCs w:val="14"/>
            </w:rPr>
          </w:pPr>
          <w:bookmarkStart w:id="10" w:name="GeneralPartnerLinks"/>
          <w:bookmarkStart w:id="11" w:name="Fuss1"/>
          <w:bookmarkEnd w:id="10"/>
        </w:p>
      </w:tc>
      <w:tc>
        <w:tcPr>
          <w:tcW w:w="2835" w:type="dxa"/>
          <w:tcMar>
            <w:left w:w="0" w:type="dxa"/>
            <w:right w:w="0" w:type="dxa"/>
          </w:tcMar>
        </w:tcPr>
        <w:p w:rsidR="00B87E7F" w:rsidRDefault="00B87E7F">
          <w:pPr>
            <w:rPr>
              <w:sz w:val="14"/>
            </w:rPr>
          </w:pPr>
          <w:bookmarkStart w:id="12" w:name="GeneralPartnerRechts"/>
          <w:bookmarkEnd w:id="12"/>
        </w:p>
      </w:tc>
    </w:tr>
  </w:tbl>
  <w:p w:rsidR="00B87E7F" w:rsidRDefault="00B87E7F">
    <w:pPr>
      <w:rPr>
        <w:sz w:val="14"/>
      </w:rPr>
    </w:pPr>
  </w:p>
  <w:bookmarkEnd w:i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B8" w:rsidRDefault="00317FB8">
      <w:r>
        <w:separator/>
      </w:r>
    </w:p>
  </w:footnote>
  <w:footnote w:type="continuationSeparator" w:id="0">
    <w:p w:rsidR="00317FB8" w:rsidRDefault="0031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rsidTr="00A81175">
      <w:trPr>
        <w:trHeight w:hRule="exact" w:val="794"/>
      </w:trPr>
      <w:tc>
        <w:tcPr>
          <w:tcW w:w="5925" w:type="dxa"/>
          <w:noWrap/>
          <w:vAlign w:val="bottom"/>
        </w:tcPr>
        <w:p w:rsidR="00B87E7F" w:rsidRDefault="00B87E7F">
          <w:pPr>
            <w:pStyle w:val="Kopfzeile"/>
            <w:widowControl w:val="0"/>
            <w:rPr>
              <w:rFonts w:cs="Arial"/>
              <w:sz w:val="16"/>
              <w:szCs w:val="16"/>
            </w:rPr>
          </w:pPr>
          <w:bookmarkStart w:id="2" w:name="Kopf2"/>
        </w:p>
      </w:tc>
      <w:tc>
        <w:tcPr>
          <w:tcW w:w="3686" w:type="dxa"/>
          <w:noWrap/>
          <w:tcMar>
            <w:left w:w="17" w:type="dxa"/>
          </w:tcMar>
          <w:vAlign w:val="bottom"/>
        </w:tcPr>
        <w:p w:rsidR="00B87E7F" w:rsidRDefault="00A81175" w:rsidP="00A81175">
          <w:pPr>
            <w:pStyle w:val="Kopfzeile"/>
            <w:tabs>
              <w:tab w:val="left" w:pos="5273"/>
              <w:tab w:val="left" w:pos="6480"/>
            </w:tabs>
            <w:jc w:val="right"/>
            <w:rPr>
              <w:sz w:val="16"/>
              <w:szCs w:val="16"/>
            </w:rPr>
          </w:pPr>
          <w:r>
            <w:rPr>
              <w:noProof/>
              <w:sz w:val="16"/>
              <w:szCs w:val="16"/>
              <w:lang w:val="de-DE" w:eastAsia="zh-CN"/>
            </w:rPr>
            <w:drawing>
              <wp:inline distT="0" distB="0" distL="0" distR="0" wp14:anchorId="5489045E" wp14:editId="277976DF">
                <wp:extent cx="2151064" cy="509142"/>
                <wp:effectExtent l="0" t="0" r="1905" b="5715"/>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9"/>
      </w:trPr>
      <w:tc>
        <w:tcPr>
          <w:tcW w:w="5925" w:type="dxa"/>
          <w:noWrap/>
          <w:tcMar>
            <w:left w:w="284" w:type="dxa"/>
          </w:tcMar>
          <w:vAlign w:val="bottom"/>
        </w:tcPr>
        <w:p w:rsidR="00B87E7F" w:rsidRDefault="00B87E7F" w:rsidP="00E40B63">
          <w:pPr>
            <w:pStyle w:val="Kopfzeile"/>
            <w:widowControl w:val="0"/>
            <w:spacing w:line="340" w:lineRule="exact"/>
          </w:pPr>
          <w:bookmarkStart w:id="3" w:name="HeaderPage2Date"/>
          <w:bookmarkEnd w:id="3"/>
        </w:p>
      </w:tc>
      <w:tc>
        <w:tcPr>
          <w:tcW w:w="3686" w:type="dxa"/>
          <w:noWrap/>
          <w:tcMar>
            <w:left w:w="68" w:type="dxa"/>
          </w:tcMar>
          <w:vAlign w:val="bottom"/>
        </w:tcPr>
        <w:p w:rsidR="00B87E7F" w:rsidRDefault="006B1375" w:rsidP="000954FC">
          <w:pPr>
            <w:pStyle w:val="Kopfzeile"/>
            <w:tabs>
              <w:tab w:val="left" w:pos="1474"/>
              <w:tab w:val="left" w:pos="5273"/>
              <w:tab w:val="left" w:pos="6480"/>
            </w:tabs>
            <w:spacing w:line="200" w:lineRule="exact"/>
            <w:ind w:right="440"/>
            <w:jc w:val="center"/>
          </w:pPr>
          <w:bookmarkStart w:id="4" w:name="HeaderPage2Name"/>
          <w:bookmarkEnd w:id="4"/>
          <w:r>
            <w:t xml:space="preserve">            </w:t>
          </w:r>
        </w:p>
      </w:tc>
    </w:tr>
    <w:bookmarkEnd w:id="2"/>
  </w:tbl>
  <w:p w:rsidR="00B87E7F" w:rsidRDefault="00B87E7F" w:rsidP="006B13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rsidTr="00A81175">
      <w:trPr>
        <w:trHeight w:hRule="exact" w:val="794"/>
      </w:trPr>
      <w:tc>
        <w:tcPr>
          <w:tcW w:w="6067" w:type="dxa"/>
          <w:noWrap/>
          <w:vAlign w:val="bottom"/>
        </w:tcPr>
        <w:p w:rsidR="00B87E7F" w:rsidRDefault="00B87E7F">
          <w:pPr>
            <w:pStyle w:val="Kopfzeile"/>
            <w:widowControl w:val="0"/>
            <w:rPr>
              <w:rFonts w:cs="Arial"/>
              <w:sz w:val="16"/>
              <w:szCs w:val="16"/>
            </w:rPr>
          </w:pPr>
          <w:bookmarkStart w:id="7" w:name="Kopf1"/>
        </w:p>
      </w:tc>
      <w:tc>
        <w:tcPr>
          <w:tcW w:w="3544" w:type="dxa"/>
          <w:noWrap/>
          <w:tcMar>
            <w:left w:w="17" w:type="dxa"/>
          </w:tcMar>
          <w:vAlign w:val="bottom"/>
        </w:tcPr>
        <w:p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val="de-DE" w:eastAsia="zh-CN"/>
            </w:rPr>
            <w:drawing>
              <wp:inline distT="0" distB="0" distL="0" distR="0" wp14:anchorId="093EEF3A" wp14:editId="4E6C4974">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7"/>
      </w:trPr>
      <w:tc>
        <w:tcPr>
          <w:tcW w:w="6067" w:type="dxa"/>
          <w:noWrap/>
          <w:tcMar>
            <w:left w:w="352" w:type="dxa"/>
          </w:tcMar>
          <w:vAlign w:val="bottom"/>
        </w:tcPr>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tc>
      <w:tc>
        <w:tcPr>
          <w:tcW w:w="3544" w:type="dxa"/>
          <w:noWrap/>
          <w:tcMar>
            <w:left w:w="0" w:type="dxa"/>
          </w:tcMar>
          <w:vAlign w:val="bottom"/>
        </w:tcPr>
        <w:p w:rsidR="00B87E7F" w:rsidRDefault="00B87E7F">
          <w:pPr>
            <w:pStyle w:val="Kopfzeile"/>
            <w:tabs>
              <w:tab w:val="left" w:pos="5273"/>
              <w:tab w:val="left" w:pos="6480"/>
            </w:tabs>
            <w:rPr>
              <w:szCs w:val="22"/>
            </w:rPr>
          </w:pPr>
          <w:bookmarkStart w:id="8" w:name="TitleLine01"/>
          <w:bookmarkEnd w:id="8"/>
        </w:p>
        <w:p w:rsidR="00B87E7F" w:rsidRDefault="00B87E7F">
          <w:pPr>
            <w:pStyle w:val="Kopfzeile"/>
            <w:tabs>
              <w:tab w:val="left" w:pos="5273"/>
              <w:tab w:val="left" w:pos="6480"/>
            </w:tabs>
            <w:rPr>
              <w:sz w:val="14"/>
              <w:szCs w:val="14"/>
            </w:rPr>
          </w:pPr>
          <w:bookmarkStart w:id="9" w:name="TitleLine02"/>
          <w:bookmarkEnd w:id="9"/>
        </w:p>
      </w:tc>
    </w:tr>
  </w:tbl>
  <w:p w:rsidR="00B87E7F" w:rsidRDefault="00B87E7F">
    <w:pPr>
      <w:pStyle w:val="Kopfzeile"/>
      <w:rPr>
        <w:sz w:val="14"/>
        <w:szCs w:val="14"/>
      </w:rPr>
    </w:pPr>
  </w:p>
  <w:bookmarkEnd w:i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77F1"/>
    <w:rsid w:val="00045BBE"/>
    <w:rsid w:val="000517CE"/>
    <w:rsid w:val="00052988"/>
    <w:rsid w:val="000954FC"/>
    <w:rsid w:val="00096082"/>
    <w:rsid w:val="00097C2A"/>
    <w:rsid w:val="000A3B56"/>
    <w:rsid w:val="000B34C3"/>
    <w:rsid w:val="000B7A88"/>
    <w:rsid w:val="000C277B"/>
    <w:rsid w:val="000C4E23"/>
    <w:rsid w:val="000C5C61"/>
    <w:rsid w:val="000C69F6"/>
    <w:rsid w:val="000D6F4C"/>
    <w:rsid w:val="000E7C73"/>
    <w:rsid w:val="000F4431"/>
    <w:rsid w:val="000F55C1"/>
    <w:rsid w:val="000F5979"/>
    <w:rsid w:val="00100DAA"/>
    <w:rsid w:val="001016A1"/>
    <w:rsid w:val="001162C4"/>
    <w:rsid w:val="00122065"/>
    <w:rsid w:val="0013631C"/>
    <w:rsid w:val="0015228F"/>
    <w:rsid w:val="0015764A"/>
    <w:rsid w:val="00166233"/>
    <w:rsid w:val="001A7E41"/>
    <w:rsid w:val="001B1CFC"/>
    <w:rsid w:val="001B732F"/>
    <w:rsid w:val="001C7D25"/>
    <w:rsid w:val="001D11EE"/>
    <w:rsid w:val="0021568C"/>
    <w:rsid w:val="002225E0"/>
    <w:rsid w:val="00266C34"/>
    <w:rsid w:val="002703CB"/>
    <w:rsid w:val="00270D8C"/>
    <w:rsid w:val="002A62FF"/>
    <w:rsid w:val="002B6CD7"/>
    <w:rsid w:val="00313276"/>
    <w:rsid w:val="00317FB8"/>
    <w:rsid w:val="003274E9"/>
    <w:rsid w:val="00345B68"/>
    <w:rsid w:val="0035374D"/>
    <w:rsid w:val="00357A64"/>
    <w:rsid w:val="003603C8"/>
    <w:rsid w:val="003652EC"/>
    <w:rsid w:val="00381C1A"/>
    <w:rsid w:val="00392AA7"/>
    <w:rsid w:val="003A0319"/>
    <w:rsid w:val="003B20DF"/>
    <w:rsid w:val="003B46B8"/>
    <w:rsid w:val="003C76F6"/>
    <w:rsid w:val="003D42FC"/>
    <w:rsid w:val="0040051E"/>
    <w:rsid w:val="004067E8"/>
    <w:rsid w:val="0040684D"/>
    <w:rsid w:val="00416E0A"/>
    <w:rsid w:val="00441C23"/>
    <w:rsid w:val="0045290E"/>
    <w:rsid w:val="0046122F"/>
    <w:rsid w:val="0046653D"/>
    <w:rsid w:val="00476D50"/>
    <w:rsid w:val="00480147"/>
    <w:rsid w:val="00484260"/>
    <w:rsid w:val="004A4286"/>
    <w:rsid w:val="004F1BBB"/>
    <w:rsid w:val="005114E9"/>
    <w:rsid w:val="005319AE"/>
    <w:rsid w:val="00534AB2"/>
    <w:rsid w:val="005375D7"/>
    <w:rsid w:val="00545086"/>
    <w:rsid w:val="0054598E"/>
    <w:rsid w:val="00553842"/>
    <w:rsid w:val="005577CC"/>
    <w:rsid w:val="005749DF"/>
    <w:rsid w:val="0057627B"/>
    <w:rsid w:val="00577627"/>
    <w:rsid w:val="005826D4"/>
    <w:rsid w:val="00590AE1"/>
    <w:rsid w:val="005A29A5"/>
    <w:rsid w:val="005B68E7"/>
    <w:rsid w:val="005E5AD8"/>
    <w:rsid w:val="00606E25"/>
    <w:rsid w:val="0062498E"/>
    <w:rsid w:val="00647DEC"/>
    <w:rsid w:val="0065422C"/>
    <w:rsid w:val="00657BED"/>
    <w:rsid w:val="00663A57"/>
    <w:rsid w:val="0066781E"/>
    <w:rsid w:val="0068644B"/>
    <w:rsid w:val="006A685F"/>
    <w:rsid w:val="006B1375"/>
    <w:rsid w:val="00705682"/>
    <w:rsid w:val="00712E38"/>
    <w:rsid w:val="00746679"/>
    <w:rsid w:val="00757E2B"/>
    <w:rsid w:val="007862F4"/>
    <w:rsid w:val="007974BD"/>
    <w:rsid w:val="007A401D"/>
    <w:rsid w:val="007B4B51"/>
    <w:rsid w:val="007E2FA8"/>
    <w:rsid w:val="00816B6E"/>
    <w:rsid w:val="0082058A"/>
    <w:rsid w:val="00826988"/>
    <w:rsid w:val="0083215A"/>
    <w:rsid w:val="008346CD"/>
    <w:rsid w:val="00853AC6"/>
    <w:rsid w:val="008609A9"/>
    <w:rsid w:val="00866220"/>
    <w:rsid w:val="008815B2"/>
    <w:rsid w:val="00911076"/>
    <w:rsid w:val="0091332A"/>
    <w:rsid w:val="00940963"/>
    <w:rsid w:val="00944246"/>
    <w:rsid w:val="00970BB4"/>
    <w:rsid w:val="009721CF"/>
    <w:rsid w:val="00973366"/>
    <w:rsid w:val="00995B7C"/>
    <w:rsid w:val="00995BAA"/>
    <w:rsid w:val="009A65EF"/>
    <w:rsid w:val="009B31F5"/>
    <w:rsid w:val="009E3DAF"/>
    <w:rsid w:val="009F27A6"/>
    <w:rsid w:val="00A11667"/>
    <w:rsid w:val="00A138A1"/>
    <w:rsid w:val="00A3014D"/>
    <w:rsid w:val="00A63D0D"/>
    <w:rsid w:val="00A667B3"/>
    <w:rsid w:val="00A81175"/>
    <w:rsid w:val="00A93D9D"/>
    <w:rsid w:val="00AB1BDF"/>
    <w:rsid w:val="00AF6EBA"/>
    <w:rsid w:val="00AF78DE"/>
    <w:rsid w:val="00B05245"/>
    <w:rsid w:val="00B06209"/>
    <w:rsid w:val="00B207E2"/>
    <w:rsid w:val="00B21651"/>
    <w:rsid w:val="00B234F0"/>
    <w:rsid w:val="00B247D1"/>
    <w:rsid w:val="00B25A36"/>
    <w:rsid w:val="00B54B2F"/>
    <w:rsid w:val="00B5597E"/>
    <w:rsid w:val="00B75C51"/>
    <w:rsid w:val="00B87E7F"/>
    <w:rsid w:val="00BA2E9B"/>
    <w:rsid w:val="00BB050B"/>
    <w:rsid w:val="00BB7684"/>
    <w:rsid w:val="00BC01A3"/>
    <w:rsid w:val="00BD400C"/>
    <w:rsid w:val="00BE0D2B"/>
    <w:rsid w:val="00BF68DC"/>
    <w:rsid w:val="00C015ED"/>
    <w:rsid w:val="00C137E6"/>
    <w:rsid w:val="00C15829"/>
    <w:rsid w:val="00C22DB3"/>
    <w:rsid w:val="00C31B24"/>
    <w:rsid w:val="00C446A2"/>
    <w:rsid w:val="00C47247"/>
    <w:rsid w:val="00C8788D"/>
    <w:rsid w:val="00CA7844"/>
    <w:rsid w:val="00CB1CDD"/>
    <w:rsid w:val="00CE14D0"/>
    <w:rsid w:val="00CF3A5B"/>
    <w:rsid w:val="00D0349B"/>
    <w:rsid w:val="00D159F0"/>
    <w:rsid w:val="00D16549"/>
    <w:rsid w:val="00D24448"/>
    <w:rsid w:val="00D31BEE"/>
    <w:rsid w:val="00D33C22"/>
    <w:rsid w:val="00D354C4"/>
    <w:rsid w:val="00D447D8"/>
    <w:rsid w:val="00D50C40"/>
    <w:rsid w:val="00D775DD"/>
    <w:rsid w:val="00D9358A"/>
    <w:rsid w:val="00D97064"/>
    <w:rsid w:val="00DA1F1C"/>
    <w:rsid w:val="00DD5635"/>
    <w:rsid w:val="00E0667B"/>
    <w:rsid w:val="00E33264"/>
    <w:rsid w:val="00E3719C"/>
    <w:rsid w:val="00E40B63"/>
    <w:rsid w:val="00E44B24"/>
    <w:rsid w:val="00E520BA"/>
    <w:rsid w:val="00EA1055"/>
    <w:rsid w:val="00EA56C5"/>
    <w:rsid w:val="00EA6D12"/>
    <w:rsid w:val="00EB014D"/>
    <w:rsid w:val="00EB248B"/>
    <w:rsid w:val="00EB2B19"/>
    <w:rsid w:val="00EC1CFC"/>
    <w:rsid w:val="00EC42AE"/>
    <w:rsid w:val="00EF0EB0"/>
    <w:rsid w:val="00F012BD"/>
    <w:rsid w:val="00F2224A"/>
    <w:rsid w:val="00F4020D"/>
    <w:rsid w:val="00F57981"/>
    <w:rsid w:val="00F72BD8"/>
    <w:rsid w:val="00FB1801"/>
    <w:rsid w:val="00FB185A"/>
    <w:rsid w:val="00FC2239"/>
    <w:rsid w:val="00FD2250"/>
    <w:rsid w:val="00FF05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51F"/>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AB1BDF"/>
    <w:pPr>
      <w:keepNext/>
      <w:overflowPunct w:val="0"/>
      <w:autoSpaceDE w:val="0"/>
      <w:autoSpaceDN w:val="0"/>
      <w:adjustRightInd w:val="0"/>
      <w:spacing w:before="240" w:after="240"/>
      <w:ind w:left="567" w:hanging="567"/>
      <w:textAlignment w:val="baseline"/>
      <w:outlineLvl w:val="3"/>
    </w:pPr>
    <w:rPr>
      <w:b/>
      <w:szCs w:val="20"/>
      <w:lang w:val="de-DE"/>
    </w:rPr>
  </w:style>
  <w:style w:type="paragraph" w:styleId="berschrift5">
    <w:name w:val="heading 5"/>
    <w:basedOn w:val="Standard"/>
    <w:next w:val="Standard"/>
    <w:link w:val="berschrift5Zchn"/>
    <w:qFormat/>
    <w:rsid w:val="00AB1BDF"/>
    <w:pPr>
      <w:overflowPunct w:val="0"/>
      <w:autoSpaceDE w:val="0"/>
      <w:autoSpaceDN w:val="0"/>
      <w:adjustRightInd w:val="0"/>
      <w:spacing w:before="240" w:after="240"/>
      <w:ind w:left="567" w:hanging="567"/>
      <w:textAlignment w:val="baseline"/>
      <w:outlineLvl w:val="4"/>
    </w:pPr>
    <w:rPr>
      <w:b/>
      <w:szCs w:val="20"/>
      <w:lang w:val="de-DE"/>
    </w:rPr>
  </w:style>
  <w:style w:type="paragraph" w:styleId="berschrift6">
    <w:name w:val="heading 6"/>
    <w:basedOn w:val="Standard"/>
    <w:next w:val="Standard"/>
    <w:link w:val="berschrift6Zchn"/>
    <w:qFormat/>
    <w:rsid w:val="00AB1BDF"/>
    <w:pPr>
      <w:overflowPunct w:val="0"/>
      <w:autoSpaceDE w:val="0"/>
      <w:autoSpaceDN w:val="0"/>
      <w:adjustRightInd w:val="0"/>
      <w:spacing w:before="240" w:after="240"/>
      <w:ind w:left="567" w:hanging="567"/>
      <w:textAlignment w:val="baseline"/>
      <w:outlineLvl w:val="5"/>
    </w:pPr>
    <w:rPr>
      <w:b/>
      <w:szCs w:val="20"/>
      <w:lang w:val="de-DE"/>
    </w:rPr>
  </w:style>
  <w:style w:type="paragraph" w:styleId="berschrift7">
    <w:name w:val="heading 7"/>
    <w:basedOn w:val="Standard"/>
    <w:next w:val="Standard"/>
    <w:link w:val="berschrift7Zchn"/>
    <w:qFormat/>
    <w:rsid w:val="00AB1BDF"/>
    <w:pPr>
      <w:overflowPunct w:val="0"/>
      <w:autoSpaceDE w:val="0"/>
      <w:autoSpaceDN w:val="0"/>
      <w:adjustRightInd w:val="0"/>
      <w:spacing w:before="240" w:after="240"/>
      <w:ind w:left="567" w:hanging="567"/>
      <w:textAlignment w:val="baseline"/>
      <w:outlineLvl w:val="6"/>
    </w:pPr>
    <w:rPr>
      <w:b/>
      <w:szCs w:val="20"/>
      <w:lang w:val="de-DE"/>
    </w:rPr>
  </w:style>
  <w:style w:type="paragraph" w:styleId="berschrift8">
    <w:name w:val="heading 8"/>
    <w:basedOn w:val="Standard"/>
    <w:next w:val="Standard"/>
    <w:link w:val="berschrift8Zchn"/>
    <w:qFormat/>
    <w:rsid w:val="00AB1BDF"/>
    <w:pPr>
      <w:overflowPunct w:val="0"/>
      <w:autoSpaceDE w:val="0"/>
      <w:autoSpaceDN w:val="0"/>
      <w:adjustRightInd w:val="0"/>
      <w:spacing w:before="240" w:after="240"/>
      <w:ind w:left="567" w:hanging="567"/>
      <w:textAlignment w:val="baseline"/>
      <w:outlineLvl w:val="7"/>
    </w:pPr>
    <w:rPr>
      <w:b/>
      <w:szCs w:val="20"/>
      <w:lang w:val="de-DE"/>
    </w:rPr>
  </w:style>
  <w:style w:type="paragraph" w:styleId="berschrift9">
    <w:name w:val="heading 9"/>
    <w:basedOn w:val="Standard"/>
    <w:next w:val="Standard"/>
    <w:link w:val="berschrift9Zchn"/>
    <w:qFormat/>
    <w:rsid w:val="00AB1BDF"/>
    <w:pPr>
      <w:overflowPunct w:val="0"/>
      <w:autoSpaceDE w:val="0"/>
      <w:autoSpaceDN w:val="0"/>
      <w:adjustRightInd w:val="0"/>
      <w:spacing w:before="240" w:after="240"/>
      <w:ind w:left="567" w:hanging="567"/>
      <w:textAlignment w:val="baseline"/>
      <w:outlineLvl w:val="8"/>
    </w:pPr>
    <w:rPr>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uiPriority w:val="22"/>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AB1BDF"/>
    <w:rPr>
      <w:rFonts w:ascii="Arial" w:hAnsi="Arial"/>
      <w:b/>
      <w:sz w:val="22"/>
      <w:lang w:eastAsia="de-DE"/>
    </w:rPr>
  </w:style>
  <w:style w:type="character" w:customStyle="1" w:styleId="berschrift5Zchn">
    <w:name w:val="Überschrift 5 Zchn"/>
    <w:basedOn w:val="Absatz-Standardschriftart"/>
    <w:link w:val="berschrift5"/>
    <w:rsid w:val="00AB1BDF"/>
    <w:rPr>
      <w:rFonts w:ascii="Arial" w:hAnsi="Arial"/>
      <w:b/>
      <w:sz w:val="22"/>
      <w:lang w:eastAsia="de-DE"/>
    </w:rPr>
  </w:style>
  <w:style w:type="character" w:customStyle="1" w:styleId="berschrift6Zchn">
    <w:name w:val="Überschrift 6 Zchn"/>
    <w:basedOn w:val="Absatz-Standardschriftart"/>
    <w:link w:val="berschrift6"/>
    <w:rsid w:val="00AB1BDF"/>
    <w:rPr>
      <w:rFonts w:ascii="Arial" w:hAnsi="Arial"/>
      <w:b/>
      <w:sz w:val="22"/>
      <w:lang w:eastAsia="de-DE"/>
    </w:rPr>
  </w:style>
  <w:style w:type="character" w:customStyle="1" w:styleId="berschrift7Zchn">
    <w:name w:val="Überschrift 7 Zchn"/>
    <w:basedOn w:val="Absatz-Standardschriftart"/>
    <w:link w:val="berschrift7"/>
    <w:rsid w:val="00AB1BDF"/>
    <w:rPr>
      <w:rFonts w:ascii="Arial" w:hAnsi="Arial"/>
      <w:b/>
      <w:sz w:val="22"/>
      <w:lang w:eastAsia="de-DE"/>
    </w:rPr>
  </w:style>
  <w:style w:type="character" w:customStyle="1" w:styleId="berschrift8Zchn">
    <w:name w:val="Überschrift 8 Zchn"/>
    <w:basedOn w:val="Absatz-Standardschriftart"/>
    <w:link w:val="berschrift8"/>
    <w:rsid w:val="00AB1BDF"/>
    <w:rPr>
      <w:rFonts w:ascii="Arial" w:hAnsi="Arial"/>
      <w:b/>
      <w:sz w:val="22"/>
      <w:lang w:eastAsia="de-DE"/>
    </w:rPr>
  </w:style>
  <w:style w:type="character" w:customStyle="1" w:styleId="berschrift9Zchn">
    <w:name w:val="Überschrift 9 Zchn"/>
    <w:basedOn w:val="Absatz-Standardschriftart"/>
    <w:link w:val="berschrift9"/>
    <w:rsid w:val="00AB1BDF"/>
    <w:rPr>
      <w:rFonts w:ascii="Arial" w:hAnsi="Arial"/>
      <w:b/>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51F"/>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AB1BDF"/>
    <w:pPr>
      <w:keepNext/>
      <w:overflowPunct w:val="0"/>
      <w:autoSpaceDE w:val="0"/>
      <w:autoSpaceDN w:val="0"/>
      <w:adjustRightInd w:val="0"/>
      <w:spacing w:before="240" w:after="240"/>
      <w:ind w:left="567" w:hanging="567"/>
      <w:textAlignment w:val="baseline"/>
      <w:outlineLvl w:val="3"/>
    </w:pPr>
    <w:rPr>
      <w:b/>
      <w:szCs w:val="20"/>
      <w:lang w:val="de-DE"/>
    </w:rPr>
  </w:style>
  <w:style w:type="paragraph" w:styleId="berschrift5">
    <w:name w:val="heading 5"/>
    <w:basedOn w:val="Standard"/>
    <w:next w:val="Standard"/>
    <w:link w:val="berschrift5Zchn"/>
    <w:qFormat/>
    <w:rsid w:val="00AB1BDF"/>
    <w:pPr>
      <w:overflowPunct w:val="0"/>
      <w:autoSpaceDE w:val="0"/>
      <w:autoSpaceDN w:val="0"/>
      <w:adjustRightInd w:val="0"/>
      <w:spacing w:before="240" w:after="240"/>
      <w:ind w:left="567" w:hanging="567"/>
      <w:textAlignment w:val="baseline"/>
      <w:outlineLvl w:val="4"/>
    </w:pPr>
    <w:rPr>
      <w:b/>
      <w:szCs w:val="20"/>
      <w:lang w:val="de-DE"/>
    </w:rPr>
  </w:style>
  <w:style w:type="paragraph" w:styleId="berschrift6">
    <w:name w:val="heading 6"/>
    <w:basedOn w:val="Standard"/>
    <w:next w:val="Standard"/>
    <w:link w:val="berschrift6Zchn"/>
    <w:qFormat/>
    <w:rsid w:val="00AB1BDF"/>
    <w:pPr>
      <w:overflowPunct w:val="0"/>
      <w:autoSpaceDE w:val="0"/>
      <w:autoSpaceDN w:val="0"/>
      <w:adjustRightInd w:val="0"/>
      <w:spacing w:before="240" w:after="240"/>
      <w:ind w:left="567" w:hanging="567"/>
      <w:textAlignment w:val="baseline"/>
      <w:outlineLvl w:val="5"/>
    </w:pPr>
    <w:rPr>
      <w:b/>
      <w:szCs w:val="20"/>
      <w:lang w:val="de-DE"/>
    </w:rPr>
  </w:style>
  <w:style w:type="paragraph" w:styleId="berschrift7">
    <w:name w:val="heading 7"/>
    <w:basedOn w:val="Standard"/>
    <w:next w:val="Standard"/>
    <w:link w:val="berschrift7Zchn"/>
    <w:qFormat/>
    <w:rsid w:val="00AB1BDF"/>
    <w:pPr>
      <w:overflowPunct w:val="0"/>
      <w:autoSpaceDE w:val="0"/>
      <w:autoSpaceDN w:val="0"/>
      <w:adjustRightInd w:val="0"/>
      <w:spacing w:before="240" w:after="240"/>
      <w:ind w:left="567" w:hanging="567"/>
      <w:textAlignment w:val="baseline"/>
      <w:outlineLvl w:val="6"/>
    </w:pPr>
    <w:rPr>
      <w:b/>
      <w:szCs w:val="20"/>
      <w:lang w:val="de-DE"/>
    </w:rPr>
  </w:style>
  <w:style w:type="paragraph" w:styleId="berschrift8">
    <w:name w:val="heading 8"/>
    <w:basedOn w:val="Standard"/>
    <w:next w:val="Standard"/>
    <w:link w:val="berschrift8Zchn"/>
    <w:qFormat/>
    <w:rsid w:val="00AB1BDF"/>
    <w:pPr>
      <w:overflowPunct w:val="0"/>
      <w:autoSpaceDE w:val="0"/>
      <w:autoSpaceDN w:val="0"/>
      <w:adjustRightInd w:val="0"/>
      <w:spacing w:before="240" w:after="240"/>
      <w:ind w:left="567" w:hanging="567"/>
      <w:textAlignment w:val="baseline"/>
      <w:outlineLvl w:val="7"/>
    </w:pPr>
    <w:rPr>
      <w:b/>
      <w:szCs w:val="20"/>
      <w:lang w:val="de-DE"/>
    </w:rPr>
  </w:style>
  <w:style w:type="paragraph" w:styleId="berschrift9">
    <w:name w:val="heading 9"/>
    <w:basedOn w:val="Standard"/>
    <w:next w:val="Standard"/>
    <w:link w:val="berschrift9Zchn"/>
    <w:qFormat/>
    <w:rsid w:val="00AB1BDF"/>
    <w:pPr>
      <w:overflowPunct w:val="0"/>
      <w:autoSpaceDE w:val="0"/>
      <w:autoSpaceDN w:val="0"/>
      <w:adjustRightInd w:val="0"/>
      <w:spacing w:before="240" w:after="240"/>
      <w:ind w:left="567" w:hanging="567"/>
      <w:textAlignment w:val="baseline"/>
      <w:outlineLvl w:val="8"/>
    </w:pPr>
    <w:rPr>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uiPriority w:val="22"/>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AB1BDF"/>
    <w:rPr>
      <w:rFonts w:ascii="Arial" w:hAnsi="Arial"/>
      <w:b/>
      <w:sz w:val="22"/>
      <w:lang w:eastAsia="de-DE"/>
    </w:rPr>
  </w:style>
  <w:style w:type="character" w:customStyle="1" w:styleId="berschrift5Zchn">
    <w:name w:val="Überschrift 5 Zchn"/>
    <w:basedOn w:val="Absatz-Standardschriftart"/>
    <w:link w:val="berschrift5"/>
    <w:rsid w:val="00AB1BDF"/>
    <w:rPr>
      <w:rFonts w:ascii="Arial" w:hAnsi="Arial"/>
      <w:b/>
      <w:sz w:val="22"/>
      <w:lang w:eastAsia="de-DE"/>
    </w:rPr>
  </w:style>
  <w:style w:type="character" w:customStyle="1" w:styleId="berschrift6Zchn">
    <w:name w:val="Überschrift 6 Zchn"/>
    <w:basedOn w:val="Absatz-Standardschriftart"/>
    <w:link w:val="berschrift6"/>
    <w:rsid w:val="00AB1BDF"/>
    <w:rPr>
      <w:rFonts w:ascii="Arial" w:hAnsi="Arial"/>
      <w:b/>
      <w:sz w:val="22"/>
      <w:lang w:eastAsia="de-DE"/>
    </w:rPr>
  </w:style>
  <w:style w:type="character" w:customStyle="1" w:styleId="berschrift7Zchn">
    <w:name w:val="Überschrift 7 Zchn"/>
    <w:basedOn w:val="Absatz-Standardschriftart"/>
    <w:link w:val="berschrift7"/>
    <w:rsid w:val="00AB1BDF"/>
    <w:rPr>
      <w:rFonts w:ascii="Arial" w:hAnsi="Arial"/>
      <w:b/>
      <w:sz w:val="22"/>
      <w:lang w:eastAsia="de-DE"/>
    </w:rPr>
  </w:style>
  <w:style w:type="character" w:customStyle="1" w:styleId="berschrift8Zchn">
    <w:name w:val="Überschrift 8 Zchn"/>
    <w:basedOn w:val="Absatz-Standardschriftart"/>
    <w:link w:val="berschrift8"/>
    <w:rsid w:val="00AB1BDF"/>
    <w:rPr>
      <w:rFonts w:ascii="Arial" w:hAnsi="Arial"/>
      <w:b/>
      <w:sz w:val="22"/>
      <w:lang w:eastAsia="de-DE"/>
    </w:rPr>
  </w:style>
  <w:style w:type="character" w:customStyle="1" w:styleId="berschrift9Zchn">
    <w:name w:val="Überschrift 9 Zchn"/>
    <w:basedOn w:val="Absatz-Standardschriftart"/>
    <w:link w:val="berschrift9"/>
    <w:rsid w:val="00AB1BDF"/>
    <w:rPr>
      <w:rFonts w:ascii="Arial" w:hAnsi="Arial"/>
      <w:b/>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BlankDoc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174A-ECE3-46D1-A266-9C5DDFD6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CoperionBlankDocument.dot</Template>
  <TotalTime>0</TotalTime>
  <Pages>6</Pages>
  <Words>1448</Words>
  <Characters>10599</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12023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Rupp Julia</cp:lastModifiedBy>
  <cp:revision>10</cp:revision>
  <cp:lastPrinted>2013-09-12T14:48:00Z</cp:lastPrinted>
  <dcterms:created xsi:type="dcterms:W3CDTF">2018-02-19T14:08:00Z</dcterms:created>
  <dcterms:modified xsi:type="dcterms:W3CDTF">2018-02-27T14:25:00Z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